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240" w:lineRule="auto" w:after="60"/>
      </w:pPr>
      <w:r>
        <w:t>Dolores empresariales y digitalización en Bizkaia</w:t>
      </w:r>
    </w:p>
    <w:p>
      <w:pPr>
        <w:spacing w:line="240" w:lineRule="auto" w:after="60"/>
      </w:pPr>
      <w:r>
        <w:rPr>
          <w:color w:val="167D9A"/>
          <w:sz w:val="28"/>
        </w:rPr>
        <w:t>Análisis de fuentes abiertas y valoración para el nuevo corpus</w:t>
      </w:r>
    </w:p>
    <w:p>
      <w:pPr>
        <w:spacing w:line="240" w:lineRule="auto" w:after="60"/>
      </w:pPr>
      <w:r>
        <w:rPr>
          <w:sz w:val="18"/>
        </w:rPr>
        <w:t>Corte documental: 20 de octubre de 2026  |  Fuentes de Bizkaia y Euskadi</w:t>
      </w:r>
    </w:p>
    <w:p>
      <w:pPr>
        <w:spacing w:line="240" w:lineRule="auto" w:after="60"/>
      </w:pPr>
      <w:r>
        <w:t>Conclusión. Las fuentes abiertas permiten construir una agenda verificable de fricciones empresariales, pero no demuestran por sí solas que falte software para resolverlas. La señal más útil combina encuestas de adopción, documentos metodológicos y relatos concretos de retos y casos; sus poblaciones y sesgos deben permanecer separados.</w:t>
      </w:r>
    </w:p>
    <w:p>
      <w:pPr>
        <w:pStyle w:val="Heading1"/>
        <w:spacing w:line="240" w:lineRule="auto" w:after="60"/>
      </w:pPr>
      <w:r>
        <w:t>1. Alcance y criterio de lectura</w:t>
      </w:r>
    </w:p>
    <w:p>
      <w:pPr>
        <w:spacing w:line="240" w:lineRule="auto" w:after="60"/>
      </w:pPr>
      <w:r>
        <w:t>Se revisaron fuentes públicas disponibles hasta la fecha de corte y se conservaron por separado: encuestas de Bizkaia, encuestas de Euskadi, instrumentos metodológicos y corpus discursivo territorial. Se incluyen PDF y páginas HTML cuando aportan ficha, metodología o contexto.</w:t>
      </w:r>
    </w:p>
    <w:p>
      <w:pPr>
        <w:spacing w:line="240" w:lineRule="auto" w:after="60"/>
      </w:pPr>
      <w:r>
        <w:t>No se suman ni comparan porcentajes entre fuentes con distinto territorio, periodo, unidad estadística, marco de selección o definición. “Empresa” y “establecimiento” no son unidades intercambiables; tampoco una encuesta sectorial representa a todo el tejido empresarial.</w:t>
      </w:r>
    </w:p>
    <w:p>
      <w:pPr>
        <w:spacing w:line="240" w:lineRule="auto" w:after="60"/>
      </w:pPr>
      <w:r>
        <w:t>Para valorar un posible hueco de software se distinguen cuatro niveles: necesidad declarada; fricción descrita en tarea concreta; evidencia de que las herramientas actuales no la resuelven; brecha corroborada mediante alternativas probadas, restricciones y disposición a adoptar o pagar. La documentación revisada ofrece sobre todo niveles 1 y 2.</w:t>
      </w:r>
    </w:p>
    <w:p>
      <w:pPr>
        <w:pStyle w:val="Heading1"/>
        <w:spacing w:line="240" w:lineRule="auto" w:after="60"/>
      </w:pPr>
      <w:r>
        <w:t>2. Antecedentes basados en encuestas e instrumentos</w:t>
      </w:r>
    </w:p>
    <w:p>
      <w:pPr>
        <w:spacing w:line="240" w:lineRule="auto" w:after="60"/>
      </w:pPr>
      <w:r>
        <w:t>Estas fuentes estiman adopción, inversión, innovación o barreras para sus poblaciones definidas. Contextualizan y orientan preguntas; no forman el corpus de relatos de retos.</w:t>
      </w:r>
    </w:p>
    <w:p>
      <w:pPr>
        <w:pStyle w:val="Heading3"/>
        <w:spacing w:line="240" w:lineRule="auto" w:after="60"/>
      </w:pPr>
      <w:hyperlink r:id="rId10">
        <w:r>
          <w:rPr>
            <w:color w:val="167D9A"/>
            <w:u w:val="single"/>
          </w:rPr>
          <w:t>Transformación digital en las empresas de Bizkaia 2025 — barrixe</w:t>
        </w:r>
      </w:hyperlink>
    </w:p>
    <w:p>
      <w:pPr>
        <w:spacing w:after="60" w:line="240" w:lineRule="auto"/>
      </w:pPr>
      <w:r>
        <w:rPr>
          <w:b/>
        </w:rPr>
        <w:t xml:space="preserve">Ficha. </w:t>
      </w:r>
      <w:r>
        <w:t>Publicación 2026; referencia 2025. Bizkaia. CATI semiestructurada a gerencia, dirección o responsables técnicos. 801 entrevistas; universo objetivo declarado: industria y servicios conexos, 6–100 personas empleadas; error muestral publicado ±3,2% al 95,5% para ese colectivo. El perfil efectivo también contiene construcción (13,1%), con servicios 56,4% e industria 30,7%: mantener visible la diferencia entre universo y perfil.</w:t>
      </w:r>
    </w:p>
    <w:p>
      <w:pPr>
        <w:spacing w:after="60" w:line="240" w:lineRule="auto"/>
      </w:pPr>
      <w:r>
        <w:rPr>
          <w:b/>
        </w:rPr>
        <w:t xml:space="preserve">Indicadores pertinentes. </w:t>
      </w:r>
      <w:r>
        <w:t>Implantación de tecnologías básicas y avanzadas; ERP/CRM, nube, ciberseguridad e IA; inversión prevista y estadio de transformación. Barreras citadas: tiempo, recursos, talento especializado y asesoramiento técnico.</w:t>
      </w:r>
    </w:p>
    <w:p>
      <w:pPr>
        <w:spacing w:after="60" w:line="240" w:lineRule="auto"/>
      </w:pPr>
      <w:r>
        <w:rPr>
          <w:b/>
        </w:rPr>
        <w:t xml:space="preserve">Límite para identificar software no cubierto. </w:t>
      </w:r>
      <w:r>
        <w:t>Mide uso y barreras declaradas, no satisfacción, coste de sustitución, fallos de ajuste o ausencia de oferta. La diferencia entre universo descrito y perfil de respuestas requiere cautela al usar el margen de error.</w:t>
      </w:r>
    </w:p>
    <w:p>
      <w:pPr>
        <w:spacing w:after="60" w:line="240" w:lineRule="auto"/>
      </w:pPr>
      <w:r>
        <w:rPr>
          <w:i/>
          <w:color w:val="646C72"/>
          <w:sz w:val="17"/>
        </w:rPr>
        <w:t>Copia local: 01_encuestas_bizkaia/barrixe_transformacion_digital_2025.pdf</w:t>
      </w:r>
    </w:p>
    <w:p>
      <w:pPr>
        <w:pStyle w:val="Heading3"/>
        <w:spacing w:line="240" w:lineRule="auto" w:after="60"/>
      </w:pPr>
      <w:hyperlink r:id="rId11">
        <w:r>
          <w:rPr>
            <w:color w:val="167D9A"/>
            <w:u w:val="single"/>
          </w:rPr>
          <w:t>Barómetro de situación empresarial de Bizkaia, 3.ª edición — Beaz/Diputación</w:t>
        </w:r>
      </w:hyperlink>
    </w:p>
    <w:p>
      <w:pPr>
        <w:spacing w:after="60" w:line="240" w:lineRule="auto"/>
      </w:pPr>
      <w:r>
        <w:rPr>
          <w:b/>
        </w:rPr>
        <w:t xml:space="preserve">Ficha. </w:t>
      </w:r>
      <w:r>
        <w:t>Presentado el 2 de julio de 2026; balance 2025 y previsiones 2026. Bizkaia, empresas de 5–250 personas. La ficha pública y el informe describen necesidades, inversión, innovación, talento e IA. La edición anterior fue 501 entrevistas; no atribuir ese tamaño a la tercera edición sin verificar su ficha.</w:t>
      </w:r>
    </w:p>
    <w:p>
      <w:pPr>
        <w:spacing w:after="60" w:line="240" w:lineRule="auto"/>
      </w:pPr>
      <w:r>
        <w:rPr>
          <w:b/>
        </w:rPr>
        <w:t xml:space="preserve">Indicadores pertinentes. </w:t>
      </w:r>
      <w:r>
        <w:t>Inversión, innovación, perspectivas de ventas/empleo, talento, IA y preocupaciones empresariales.</w:t>
      </w:r>
    </w:p>
    <w:p>
      <w:pPr>
        <w:spacing w:after="60" w:line="240" w:lineRule="auto"/>
      </w:pPr>
      <w:r>
        <w:rPr>
          <w:b/>
        </w:rPr>
        <w:t xml:space="preserve">Límite para identificar software no cubierto. </w:t>
      </w:r>
      <w:r>
        <w:t>El resumen no detalla software, herramientas probadas o fallos de solución. No trasladar el n de la segunda edición a la tercera.</w:t>
      </w:r>
    </w:p>
    <w:p>
      <w:pPr>
        <w:spacing w:after="60" w:line="240" w:lineRule="auto"/>
      </w:pPr>
      <w:r>
        <w:rPr>
          <w:i/>
          <w:color w:val="646C72"/>
          <w:sz w:val="17"/>
        </w:rPr>
        <w:t>Copia local: 01_encuestas_bizkaia/beaz_barometro_empresarial_2026.pdf y ficha HTML</w:t>
      </w:r>
    </w:p>
    <w:p>
      <w:pPr>
        <w:pStyle w:val="Heading3"/>
        <w:spacing w:line="240" w:lineRule="auto" w:after="60"/>
      </w:pPr>
      <w:hyperlink r:id="rId12">
        <w:r>
          <w:rPr>
            <w:color w:val="167D9A"/>
            <w:u w:val="single"/>
          </w:rPr>
          <w:t>Encuesta de coyuntura de empresas asociadas — CEBEK</w:t>
        </w:r>
      </w:hyperlink>
    </w:p>
    <w:p>
      <w:pPr>
        <w:spacing w:after="60" w:line="240" w:lineRule="auto"/>
      </w:pPr>
      <w:r>
        <w:rPr>
          <w:b/>
        </w:rPr>
        <w:t xml:space="preserve">Ficha. </w:t>
      </w:r>
      <w:r>
        <w:t>Abril de 2026; 394 empresas participantes asociadas a CEBEK, con composición sectorial y de tamaño publicada. Encuesta asociativa de coyuntura.</w:t>
      </w:r>
    </w:p>
    <w:p>
      <w:pPr>
        <w:spacing w:after="60" w:line="240" w:lineRule="auto"/>
      </w:pPr>
      <w:r>
        <w:rPr>
          <w:b/>
        </w:rPr>
        <w:t xml:space="preserve">Indicadores pertinentes. </w:t>
      </w:r>
      <w:r>
        <w:t>Evolución de actividad, empleo, inversión y contexto geopolítico; contexto de presión económica, no diagnóstico específico de producto digital.</w:t>
      </w:r>
    </w:p>
    <w:p>
      <w:pPr>
        <w:spacing w:after="60" w:line="240" w:lineRule="auto"/>
      </w:pPr>
      <w:r>
        <w:rPr>
          <w:b/>
        </w:rPr>
        <w:t xml:space="preserve">Límite para identificar software no cubierto. </w:t>
      </w:r>
      <w:r>
        <w:t>Sesgo de afiliación; no representa por sí sola el universo de Bizkaia. Sus preguntas no identifican módulos de software ni alternativas insatisfactorias.</w:t>
      </w:r>
    </w:p>
    <w:p>
      <w:pPr>
        <w:spacing w:after="60" w:line="240" w:lineRule="auto"/>
      </w:pPr>
      <w:r>
        <w:rPr>
          <w:i/>
          <w:color w:val="646C72"/>
          <w:sz w:val="17"/>
        </w:rPr>
        <w:t>Copia local: 01_encuestas_bizkaia/cebek_coyuntura_2026.pdf</w:t>
      </w:r>
    </w:p>
    <w:p>
      <w:pPr>
        <w:pStyle w:val="Heading3"/>
        <w:spacing w:line="240" w:lineRule="auto" w:after="60"/>
      </w:pPr>
      <w:hyperlink r:id="rId13">
        <w:r>
          <w:rPr>
            <w:color w:val="167D9A"/>
            <w:u w:val="single"/>
          </w:rPr>
          <w:t>Sociedad de la Información en las Empresas (ESIE) 2026 — Eustat</w:t>
        </w:r>
      </w:hyperlink>
    </w:p>
    <w:p>
      <w:pPr>
        <w:spacing w:after="60" w:line="240" w:lineRule="auto"/>
      </w:pPr>
      <w:r>
        <w:rPr>
          <w:b/>
        </w:rPr>
        <w:t xml:space="preserve">Ficha. </w:t>
      </w:r>
      <w:r>
        <w:t>Euskadi; unidad estadística: establecimiento. Cuestionario a alrededor de 7.800 establecimientos; muestra aleatoria estratificada por territorio, actividad A38 y estrato de empleo, con censo de estrato ≥100. Resultados 2026 disponibles; instrumento 2026 conservado.</w:t>
      </w:r>
    </w:p>
    <w:p>
      <w:pPr>
        <w:spacing w:after="60" w:line="240" w:lineRule="auto"/>
      </w:pPr>
      <w:r>
        <w:rPr>
          <w:b/>
        </w:rPr>
        <w:t xml:space="preserve">Indicadores pertinentes. </w:t>
      </w:r>
      <w:r>
        <w:t>Internet, web, comercio electrónico, cloud, IA, ciberseguridad, sistemas de gestión e Industria 4.0; desgloses por territorio, actividad y empleo.</w:t>
      </w:r>
    </w:p>
    <w:p>
      <w:pPr>
        <w:spacing w:after="60" w:line="240" w:lineRule="auto"/>
      </w:pPr>
      <w:r>
        <w:rPr>
          <w:b/>
        </w:rPr>
        <w:t xml:space="preserve">Límite para identificar software no cubierto. </w:t>
      </w:r>
      <w:r>
        <w:t>Fuerte para adopción por establecimiento; no pregunta si la empresa está satisfecha, qué proceso queda manual, cuánto cuesta la fricción o qué proveedor no cubre el uso. Un local multisede no equivale a una empresa.</w:t>
      </w:r>
    </w:p>
    <w:p>
      <w:pPr>
        <w:spacing w:after="60" w:line="240" w:lineRule="auto"/>
      </w:pPr>
      <w:r>
        <w:rPr>
          <w:i/>
          <w:color w:val="646C72"/>
          <w:sz w:val="17"/>
        </w:rPr>
        <w:t>Copia local: 02_encuestas_euskadi/eustat_esie_resultados_2026.html; 03_instrumentos_metodologia/eustat_esie_cuestionario_2026.pdf</w:t>
      </w:r>
    </w:p>
    <w:p>
      <w:pPr>
        <w:pStyle w:val="Heading3"/>
        <w:spacing w:line="240" w:lineRule="auto" w:after="60"/>
      </w:pPr>
      <w:hyperlink r:id="rId14">
        <w:r>
          <w:rPr>
            <w:color w:val="167D9A"/>
            <w:u w:val="single"/>
          </w:rPr>
          <w:t>Encuesta de Innovación 2024 — Eustat</w:t>
        </w:r>
      </w:hyperlink>
    </w:p>
    <w:p>
      <w:pPr>
        <w:spacing w:after="60" w:line="240" w:lineRule="auto"/>
      </w:pPr>
      <w:r>
        <w:rPr>
          <w:b/>
        </w:rPr>
        <w:t xml:space="preserve">Ficha. </w:t>
      </w:r>
      <w:r>
        <w:t>Euskadi; aproximadamente 4.000 establecimientos. Panel actualizado y diseño estratificado por territorio, empleo y actividad; grandes estratos y actividades I+D censales. Resultados de referencia 2024 difundidos el 30/06/2026. Cuestionarios 2024 y 2025 conservados.</w:t>
      </w:r>
    </w:p>
    <w:p>
      <w:pPr>
        <w:spacing w:after="60" w:line="240" w:lineRule="auto"/>
      </w:pPr>
      <w:r>
        <w:rPr>
          <w:b/>
        </w:rPr>
        <w:t xml:space="preserve">Indicadores pertinentes. </w:t>
      </w:r>
      <w:r>
        <w:t>Actividades y gasto de innovación, financiación, cooperación y dificultades. Eustat informó obstáculos a la innovación para 56,5% del total y 65,0% de establecimientos con 10 o más empleos; son denominadores distintos.</w:t>
      </w:r>
    </w:p>
    <w:p>
      <w:pPr>
        <w:spacing w:after="60" w:line="240" w:lineRule="auto"/>
      </w:pPr>
      <w:r>
        <w:rPr>
          <w:b/>
        </w:rPr>
        <w:t xml:space="preserve">Límite para identificar software no cubierto. </w:t>
      </w:r>
      <w:r>
        <w:t>Obstáculos a la innovación es más amplio que dolor operativo o falta de software. No atribuye causalidad ni insatisfacción con una herramienta específica. No confundir cuestionario 2025 con periodo de resultados 2024.</w:t>
      </w:r>
    </w:p>
    <w:p>
      <w:pPr>
        <w:spacing w:after="60" w:line="240" w:lineRule="auto"/>
      </w:pPr>
      <w:r>
        <w:rPr>
          <w:i/>
          <w:color w:val="646C72"/>
          <w:sz w:val="17"/>
        </w:rPr>
        <w:t>Copia local: 02_encuestas_euskadi/eustat_innovacion_resultados_y_cuestionarios.html; 03_instrumentos_metodologia/eustat_innovacion_cuestionario_2024.pdf y _2025.pdf</w:t>
      </w:r>
    </w:p>
    <w:p>
      <w:pPr>
        <w:pStyle w:val="Heading3"/>
        <w:spacing w:line="240" w:lineRule="auto" w:after="60"/>
      </w:pPr>
      <w:hyperlink r:id="rId15">
        <w:r>
          <w:rPr>
            <w:color w:val="167D9A"/>
            <w:u w:val="single"/>
          </w:rPr>
          <w:t>Diagnóstico 4.0 de la industria alimentaria vasca — AZTI</w:t>
        </w:r>
      </w:hyperlink>
    </w:p>
    <w:p>
      <w:pPr>
        <w:spacing w:after="60" w:line="240" w:lineRule="auto"/>
      </w:pPr>
      <w:r>
        <w:rPr>
          <w:b/>
        </w:rPr>
        <w:t xml:space="preserve">Ficha. </w:t>
      </w:r>
      <w:r>
        <w:t>Publicado en 2019; campo julio de 2018. 205 empresas alimentarias de Bizkaia, Araba y Gipuzkoa; base de AZTI, cuotas mínimas por sector, cuestionario de 48 preguntas, pretest en 3 firmas, envío online y refuerzo CATI.</w:t>
      </w:r>
    </w:p>
    <w:p>
      <w:pPr>
        <w:spacing w:after="60" w:line="240" w:lineRule="auto"/>
      </w:pPr>
      <w:r>
        <w:rPr>
          <w:b/>
        </w:rPr>
        <w:t xml:space="preserve">Indicadores pertinentes. </w:t>
      </w:r>
      <w:r>
        <w:t>Recogida/almacenamiento manual, uso de datos en decisiones, conexión de cadena, proceso productivo, consumidor, personas, estrategia, barreras y activadores.</w:t>
      </w:r>
    </w:p>
    <w:p>
      <w:pPr>
        <w:spacing w:after="60" w:line="240" w:lineRule="auto"/>
      </w:pPr>
      <w:r>
        <w:rPr>
          <w:b/>
        </w:rPr>
        <w:t xml:space="preserve">Límite para identificar software no cubierto. </w:t>
      </w:r>
      <w:r>
        <w:t>Sector y antigüedad acotados; base AZTI y segmentación limitada en resumen. No diagnostica oferta actual ni representa 2026.</w:t>
      </w:r>
    </w:p>
    <w:p>
      <w:pPr>
        <w:spacing w:after="60" w:line="240" w:lineRule="auto"/>
      </w:pPr>
      <w:r>
        <w:rPr>
          <w:i/>
          <w:color w:val="646C72"/>
          <w:sz w:val="17"/>
        </w:rPr>
        <w:t>Copia local: 02_encuestas_euskadi/azti_diagnostico_alimentaria_2019.pdf</w:t>
      </w:r>
    </w:p>
    <w:p>
      <w:pPr>
        <w:pStyle w:val="Heading3"/>
        <w:spacing w:line="240" w:lineRule="auto" w:after="60"/>
      </w:pPr>
      <w:hyperlink r:id="rId16">
        <w:r>
          <w:rPr>
            <w:color w:val="167D9A"/>
            <w:u w:val="single"/>
          </w:rPr>
          <w:t>II Encuesta de empresas vascas e Industria Inteligente — Confebask, Adegi, CEBEK y SEA</w:t>
        </w:r>
      </w:hyperlink>
    </w:p>
    <w:p>
      <w:pPr>
        <w:spacing w:after="60" w:line="240" w:lineRule="auto"/>
      </w:pPr>
      <w:r>
        <w:rPr>
          <w:b/>
        </w:rPr>
        <w:t xml:space="preserve">Ficha. </w:t>
      </w:r>
      <w:r>
        <w:t>Euskadi, empresas industriales; campo junio-julio de 2021; 240 respuestas, 93% pymes; 18 preguntas. Diagnóstico sectorial impulsado por organizaciones empresariales, continuación de 2019.</w:t>
      </w:r>
    </w:p>
    <w:p>
      <w:pPr>
        <w:spacing w:after="60" w:line="240" w:lineRule="auto"/>
      </w:pPr>
      <w:r>
        <w:rPr>
          <w:b/>
        </w:rPr>
        <w:t xml:space="preserve">Indicadores pertinentes. </w:t>
      </w:r>
      <w:r>
        <w:t>Conocimiento de Industria Inteligente, infraestructura, estrategia, personas, inversión, tecnologías, barreras y palancas. Se destacan desconocimiento de ventajas y coste de inversión.</w:t>
      </w:r>
    </w:p>
    <w:p>
      <w:pPr>
        <w:spacing w:after="60" w:line="240" w:lineRule="auto"/>
      </w:pPr>
      <w:r>
        <w:rPr>
          <w:b/>
        </w:rPr>
        <w:t xml:space="preserve">Límite para identificar software no cubierto. </w:t>
      </w:r>
      <w:r>
        <w:t>No hay desglose que atribuya representatividad a Bizkaia; no convertir las 240 respuestas en una muestra vizcaína. El informe lleva marca de confidencialidad; verificar denominadores antes de reutilizar cifras.</w:t>
      </w:r>
    </w:p>
    <w:p>
      <w:pPr>
        <w:spacing w:after="60" w:line="240" w:lineRule="auto"/>
      </w:pPr>
      <w:r>
        <w:rPr>
          <w:i/>
          <w:color w:val="646C72"/>
          <w:sz w:val="17"/>
        </w:rPr>
        <w:t>Copia local: 02_encuestas_euskadi/confebask_industria_inteligente_2021.pdf</w:t>
      </w:r>
    </w:p>
    <w:p>
      <w:pPr>
        <w:pStyle w:val="Heading1"/>
        <w:spacing w:line="240" w:lineRule="auto" w:after="60"/>
      </w:pPr>
      <w:r>
        <w:t>3. Fuentes discursivas públicas para el nuevo corpus</w:t>
      </w:r>
    </w:p>
    <w:p>
      <w:pPr>
        <w:spacing w:line="240" w:lineRule="auto" w:after="60"/>
      </w:pPr>
      <w:r>
        <w:t>Aportan lenguaje, procesos y problemas situados, pero son retos abiertos, casos de uso o documentos de planificación seleccionados editorialmente. No estiman prevalencia. La unidad de codificación debe ser el problema-tarea descrito.</w:t>
      </w:r>
    </w:p>
    <w:p>
      <w:pPr>
        <w:pStyle w:val="Heading3"/>
        <w:spacing w:line="240" w:lineRule="auto" w:after="60"/>
      </w:pPr>
      <w:hyperlink r:id="rId17">
        <w:r>
          <w:rPr>
            <w:color w:val="167D9A"/>
            <w:u w:val="single"/>
          </w:rPr>
          <w:t>BiOK — retos empresariales publicados en Bizkaia</w:t>
        </w:r>
      </w:hyperlink>
    </w:p>
    <w:p>
      <w:pPr>
        <w:spacing w:after="60" w:line="240" w:lineRule="auto"/>
      </w:pPr>
      <w:r>
        <w:rPr>
          <w:b/>
        </w:rPr>
        <w:t xml:space="preserve">Ficha. </w:t>
      </w:r>
      <w:r>
        <w:t>Archivo de desafíos con fechas y promotores. Ormazabal (2026) describe inventario manual/estático, variabilidad de demanda y suministro, sobrestock, obsolescencia, capital inmovilizado, cálculos reactivos y necesidad de integrar la solución con sistemas existentes. Hay también un reto sobre operaciones comerciales en cadena atunera.</w:t>
      </w:r>
    </w:p>
    <w:p>
      <w:pPr>
        <w:spacing w:after="60" w:line="240" w:lineRule="auto"/>
      </w:pPr>
      <w:r>
        <w:rPr>
          <w:b/>
        </w:rPr>
        <w:t xml:space="preserve">Indicadores pertinentes. </w:t>
      </w:r>
      <w:r>
        <w:t>Inventario, planificación, aprovisionamiento, cadena de suministro y operaciones comerciales.</w:t>
      </w:r>
    </w:p>
    <w:p>
      <w:pPr>
        <w:spacing w:after="60" w:line="240" w:lineRule="auto"/>
      </w:pPr>
      <w:r>
        <w:rPr>
          <w:b/>
        </w:rPr>
        <w:t xml:space="preserve">Límite para identificar software no cubierto. </w:t>
      </w:r>
      <w:r>
        <w:t>Convocatorias seleccionadas para innovación abierta; el enunciado puede enfatizar el componente tecnológico. No infiere frecuencia en Bizkaia.</w:t>
      </w:r>
    </w:p>
    <w:p>
      <w:pPr>
        <w:spacing w:after="60" w:line="240" w:lineRule="auto"/>
      </w:pPr>
      <w:r>
        <w:rPr>
          <w:i/>
          <w:color w:val="646C72"/>
          <w:sz w:val="17"/>
        </w:rPr>
        <w:t>Copia local: 04_corpus_bizkaia/biok_archivo.html; biok_ormazabal_reto.html; biok_albacora_pevasa_reto.html; descripción PDF Ormazabal</w:t>
      </w:r>
    </w:p>
    <w:p>
      <w:pPr>
        <w:pStyle w:val="Heading3"/>
        <w:spacing w:line="240" w:lineRule="auto" w:after="60"/>
      </w:pPr>
      <w:hyperlink r:id="rId18">
        <w:r>
          <w:rPr>
            <w:color w:val="167D9A"/>
            <w:u w:val="single"/>
          </w:rPr>
          <w:t>B Accelerator Tower — retos de innovación abierta 2026</w:t>
        </w:r>
      </w:hyperlink>
    </w:p>
    <w:p>
      <w:pPr>
        <w:spacing w:after="60" w:line="240" w:lineRule="auto"/>
      </w:pPr>
      <w:r>
        <w:rPr>
          <w:b/>
        </w:rPr>
        <w:t xml:space="preserve">Ficha. </w:t>
      </w:r>
      <w:r>
        <w:t>Retos corporativos publicados en 2026. Vínculo territorial con BAT, aunque sede y alcance de cada reto varían. Se guardaron noticia general y fichas accesibles de Arin y Arteche.</w:t>
      </w:r>
    </w:p>
    <w:p>
      <w:pPr>
        <w:spacing w:after="60" w:line="240" w:lineRule="auto"/>
      </w:pPr>
      <w:r>
        <w:rPr>
          <w:b/>
        </w:rPr>
        <w:t xml:space="preserve">Indicadores pertinentes. </w:t>
      </w:r>
      <w:r>
        <w:t>Problemas de producción, operación y cadena industrial expuestos como desafíos; codificar promotor, localidad, proceso, fecha y criterios de solución.</w:t>
      </w:r>
    </w:p>
    <w:p>
      <w:pPr>
        <w:spacing w:after="60" w:line="240" w:lineRule="auto"/>
      </w:pPr>
      <w:r>
        <w:rPr>
          <w:b/>
        </w:rPr>
        <w:t xml:space="preserve">Límite para identificar software no cubierto. </w:t>
      </w:r>
      <w:r>
        <w:t>Empresas que optan por innovación abierta y retos aptos para startup; no son muestra de demanda agregada ni prueba de software ausente.</w:t>
      </w:r>
    </w:p>
    <w:p>
      <w:pPr>
        <w:spacing w:after="60" w:line="240" w:lineRule="auto"/>
      </w:pPr>
      <w:r>
        <w:rPr>
          <w:i/>
          <w:color w:val="646C72"/>
          <w:sz w:val="17"/>
        </w:rPr>
        <w:t>Copia local: 04_corpus_bizkaia/bat_seis_retos_2026.html; bat_arin_reto.html; bat_arteche_reto.html</w:t>
      </w:r>
    </w:p>
    <w:p>
      <w:pPr>
        <w:pStyle w:val="Heading3"/>
        <w:spacing w:line="240" w:lineRule="auto" w:after="60"/>
      </w:pPr>
      <w:hyperlink r:id="rId19">
        <w:r>
          <w:rPr>
            <w:color w:val="167D9A"/>
            <w:u w:val="single"/>
          </w:rPr>
          <w:t>Plan Estratégico de Comercio Bilbao 2025 y cuadernos de trabajo</w:t>
        </w:r>
      </w:hyperlink>
    </w:p>
    <w:p>
      <w:pPr>
        <w:spacing w:after="60" w:line="240" w:lineRule="auto"/>
      </w:pPr>
      <w:r>
        <w:rPr>
          <w:b/>
        </w:rPr>
        <w:t xml:space="preserve">Ficha. </w:t>
      </w:r>
      <w:r>
        <w:t>Diagnóstico/plan municipal publicado en 2021 con horizonte 2020–2025; participación de comercio, áreas municipales y agentes. Cuaderno 3 reúne perspectivas del sector y ciudadanía.</w:t>
      </w:r>
    </w:p>
    <w:p>
      <w:pPr>
        <w:spacing w:after="60" w:line="240" w:lineRule="auto"/>
      </w:pPr>
      <w:r>
        <w:rPr>
          <w:b/>
        </w:rPr>
        <w:t xml:space="preserve">Indicadores pertinentes. </w:t>
      </w:r>
      <w:r>
        <w:t>Omnicanalidad, proyectos digitales compartidos, experiencia de compra, modernización y colaboración para comercio minorista.</w:t>
      </w:r>
    </w:p>
    <w:p>
      <w:pPr>
        <w:spacing w:after="60" w:line="240" w:lineRule="auto"/>
      </w:pPr>
      <w:r>
        <w:rPr>
          <w:b/>
        </w:rPr>
        <w:t xml:space="preserve">Límite para identificar software no cubierto. </w:t>
      </w:r>
      <w:r>
        <w:t>Consulta/planificación cualitativa, Bilbao y contexto pandemia; no es encuesta de Bizkaia ni prueba de implantación o necesidad de software concreto.</w:t>
      </w:r>
    </w:p>
    <w:p>
      <w:pPr>
        <w:spacing w:after="60" w:line="240" w:lineRule="auto"/>
      </w:pPr>
      <w:r>
        <w:rPr>
          <w:i/>
          <w:color w:val="646C72"/>
          <w:sz w:val="17"/>
        </w:rPr>
        <w:t>Copia local: 04_corpus_bizkaia/bilbao_comercio_plan_final_2021.pdf; bilbao_comercio_cuaderno3_2020.pdf</w:t>
      </w:r>
    </w:p>
    <w:p>
      <w:pPr>
        <w:pStyle w:val="Heading3"/>
        <w:spacing w:line="240" w:lineRule="auto" w:after="60"/>
      </w:pPr>
      <w:hyperlink r:id="rId20">
        <w:r>
          <w:rPr>
            <w:color w:val="167D9A"/>
            <w:u w:val="single"/>
          </w:rPr>
          <w:t>BDIH — casos de uso industriales</w:t>
        </w:r>
      </w:hyperlink>
    </w:p>
    <w:p>
      <w:pPr>
        <w:spacing w:after="60" w:line="240" w:lineRule="auto"/>
      </w:pPr>
      <w:r>
        <w:rPr>
          <w:b/>
        </w:rPr>
        <w:t xml:space="preserve">Ficha. </w:t>
      </w:r>
      <w:r>
        <w:t>Catálogo de experiencias aplicadas; casos locales incluyen Wolco (Lemoa), ONA (Durango) y Airlan (Bilbao). Relatos de soluciones implantadas, sin muestra estadística.</w:t>
      </w:r>
    </w:p>
    <w:p>
      <w:pPr>
        <w:spacing w:after="60" w:line="240" w:lineRule="auto"/>
      </w:pPr>
      <w:r>
        <w:rPr>
          <w:b/>
        </w:rPr>
        <w:t xml:space="preserve">Indicadores pertinentes. </w:t>
      </w:r>
      <w:r>
        <w:t>Wolco: OEE de planta en tiempo real con IoT/cloud/análisis; ONA: medición en máquina; Airlan: monitorización de consumo energético. Permite codificar tarea, datos, integración y cambio.</w:t>
      </w:r>
    </w:p>
    <w:p>
      <w:pPr>
        <w:spacing w:after="60" w:line="240" w:lineRule="auto"/>
      </w:pPr>
      <w:r>
        <w:rPr>
          <w:b/>
        </w:rPr>
        <w:t xml:space="preserve">Límite para identificar software no cubierto. </w:t>
      </w:r>
      <w:r>
        <w:t>Sesgo de éxito; suelen omitir coste total, alternativas fallidas, satisfacción y representatividad. Etiquetar como caso resuelto, separado de problema abierto.</w:t>
      </w:r>
    </w:p>
    <w:p>
      <w:pPr>
        <w:spacing w:after="60" w:line="240" w:lineRule="auto"/>
      </w:pPr>
      <w:r>
        <w:rPr>
          <w:i/>
          <w:color w:val="646C72"/>
          <w:sz w:val="17"/>
        </w:rPr>
        <w:t>Copia local: 04_corpus_bizkaia/bdih_experiencias_index.html; bdih_wolco_caso.html; bdih_ona_caso.html; bdih_airlan_caso.html</w:t>
      </w:r>
    </w:p>
    <w:p>
      <w:pPr>
        <w:pStyle w:val="Heading3"/>
        <w:spacing w:line="240" w:lineRule="auto" w:after="60"/>
      </w:pPr>
      <w:hyperlink r:id="rId21">
        <w:r>
          <w:rPr>
            <w:color w:val="167D9A"/>
            <w:u w:val="single"/>
          </w:rPr>
          <w:t>BIND SME 5.ª edición — casos de uso 2025</w:t>
        </w:r>
      </w:hyperlink>
    </w:p>
    <w:p>
      <w:pPr>
        <w:spacing w:after="60" w:line="240" w:lineRule="auto"/>
      </w:pPr>
      <w:r>
        <w:rPr>
          <w:b/>
        </w:rPr>
        <w:t xml:space="preserve">Ficha. </w:t>
      </w:r>
      <w:r>
        <w:t>Euskadi; 20 pymes priorizaron 7 casos de uso y 22 líneas de trabajo. Proceso de selección y emparejamiento con startups; detalle conservado en PDF.</w:t>
      </w:r>
    </w:p>
    <w:p>
      <w:pPr>
        <w:spacing w:after="60" w:line="240" w:lineRule="auto"/>
      </w:pPr>
      <w:r>
        <w:rPr>
          <w:b/>
        </w:rPr>
        <w:t xml:space="preserve">Indicadores pertinentes. </w:t>
      </w:r>
      <w:r>
        <w:t>Organización eficiente, negocio/cliente, industria inteligente, ciberseguridad, sostenibilidad y transición energética.</w:t>
      </w:r>
    </w:p>
    <w:p>
      <w:pPr>
        <w:spacing w:after="60" w:line="240" w:lineRule="auto"/>
      </w:pPr>
      <w:r>
        <w:rPr>
          <w:b/>
        </w:rPr>
        <w:t xml:space="preserve">Límite para identificar software no cubierto. </w:t>
      </w:r>
      <w:r>
        <w:t>Programa de innovación abierta; necesidades filtradas para buscar proveedor tecnológico. No estima prevalencia ni comprueba brecha respecto al software disponible.</w:t>
      </w:r>
    </w:p>
    <w:p>
      <w:pPr>
        <w:spacing w:after="60" w:line="240" w:lineRule="auto"/>
      </w:pPr>
      <w:r>
        <w:rPr>
          <w:i/>
          <w:color w:val="646C72"/>
          <w:sz w:val="17"/>
        </w:rPr>
        <w:t>Copia local: 05_corpus_euskadi/bind_sme_edicion.html; bind_sme_casos_uso_2025.pdf</w:t>
      </w:r>
    </w:p>
    <w:p>
      <w:pPr>
        <w:pStyle w:val="Heading1"/>
        <w:spacing w:line="240" w:lineRule="auto" w:after="60"/>
      </w:pPr>
      <w:r>
        <w:t>4. Lectura conjunta sin mezclar poblaciones</w:t>
      </w:r>
    </w:p>
    <w:p>
      <w:pPr>
        <w:spacing w:line="240" w:lineRule="auto" w:after="60"/>
      </w:pPr>
      <w:r>
        <w:t>Cinco áreas merecen investigación de campo. Son hipótesis de trabajo sostenidas por evidencias de naturaleza y alcance distintos.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800"/>
            <w:shd w:fill="18344A"/>
            <w:tcMar>
              <w:top w:w="110" w:type="dxa"/>
              <w:start w:w="130" w:type="dxa"/>
              <w:bottom w:w="110" w:type="dxa"/>
              <w:end w:w="130" w:type="dxa"/>
            </w:tcMar>
          </w:tcPr>
          <w:p>
            <w:r>
              <w:rPr>
                <w:rFonts w:ascii="Arial" w:hAnsi="Arial"/>
                <w:b/>
                <w:color w:val="FFFFFF"/>
                <w:sz w:val="18"/>
              </w:rPr>
              <w:t>Área</w:t>
            </w:r>
          </w:p>
        </w:tc>
        <w:tc>
          <w:tcPr>
            <w:tcW w:type="dxa" w:w="4032"/>
            <w:shd w:fill="18344A"/>
            <w:tcMar>
              <w:top w:w="110" w:type="dxa"/>
              <w:start w:w="130" w:type="dxa"/>
              <w:bottom w:w="110" w:type="dxa"/>
              <w:end w:w="130" w:type="dxa"/>
            </w:tcMar>
          </w:tcPr>
          <w:p>
            <w:r>
              <w:rPr>
                <w:rFonts w:ascii="Arial" w:hAnsi="Arial"/>
                <w:b/>
                <w:color w:val="FFFFFF"/>
                <w:sz w:val="18"/>
              </w:rPr>
              <w:t>Señal encontrada</w:t>
            </w:r>
          </w:p>
        </w:tc>
        <w:tc>
          <w:tcPr>
            <w:tcW w:type="dxa" w:w="3816"/>
            <w:shd w:fill="18344A"/>
            <w:tcMar>
              <w:top w:w="110" w:type="dxa"/>
              <w:start w:w="130" w:type="dxa"/>
              <w:bottom w:w="110" w:type="dxa"/>
              <w:end w:w="130" w:type="dxa"/>
            </w:tcMar>
          </w:tcPr>
          <w:p>
            <w:r>
              <w:rPr>
                <w:rFonts w:ascii="Arial" w:hAnsi="Arial"/>
                <w:b/>
                <w:color w:val="FFFFFF"/>
                <w:sz w:val="18"/>
              </w:rPr>
              <w:t>Qué falta comprobar</w:t>
            </w:r>
          </w:p>
        </w:tc>
      </w:tr>
      <w:tr>
        <w:tc>
          <w:tcPr>
            <w:tcW w:type="dxa" w:w="1800"/>
            <w:vAlign w:val="center"/>
            <w:tcMar>
              <w:top w:w="110" w:type="dxa"/>
              <w:start w:w="130" w:type="dxa"/>
              <w:bottom w:w="110" w:type="dxa"/>
              <w:end w:w="130" w:type="dxa"/>
            </w:tcMar>
          </w:tcPr>
          <w:p>
            <w:pPr>
              <w:spacing w:after="20" w:line="240" w:lineRule="auto"/>
            </w:pPr>
            <w:r>
              <w:rPr>
                <w:rFonts w:ascii="Arial" w:hAnsi="Arial"/>
                <w:sz w:val="17"/>
              </w:rPr>
              <w:t>Inventario y suministro</w:t>
            </w:r>
          </w:p>
        </w:tc>
        <w:tc>
          <w:tcPr>
            <w:tcW w:type="dxa" w:w="4032"/>
            <w:vAlign w:val="center"/>
            <w:tcMar>
              <w:top w:w="110" w:type="dxa"/>
              <w:start w:w="130" w:type="dxa"/>
              <w:bottom w:w="110" w:type="dxa"/>
              <w:end w:w="130" w:type="dxa"/>
            </w:tcMar>
          </w:tcPr>
          <w:p>
            <w:pPr>
              <w:spacing w:after="20" w:line="240" w:lineRule="auto"/>
            </w:pPr>
            <w:r>
              <w:rPr>
                <w:rFonts w:ascii="Arial" w:hAnsi="Arial"/>
                <w:sz w:val="17"/>
              </w:rPr>
              <w:t>BiOK/Ormazabal describe stock estático, cálculos reactivos, variabilidad, sobrestock, inmovilizado y obsolescencia.</w:t>
            </w:r>
          </w:p>
        </w:tc>
        <w:tc>
          <w:tcPr>
            <w:tcW w:type="dxa" w:w="3816"/>
            <w:vAlign w:val="center"/>
            <w:tcMar>
              <w:top w:w="110" w:type="dxa"/>
              <w:start w:w="130" w:type="dxa"/>
              <w:bottom w:w="110" w:type="dxa"/>
              <w:end w:w="130" w:type="dxa"/>
            </w:tcMar>
          </w:tcPr>
          <w:p>
            <w:pPr>
              <w:spacing w:after="20" w:line="240" w:lineRule="auto"/>
            </w:pPr>
            <w:r>
              <w:rPr>
                <w:rFonts w:ascii="Arial" w:hAnsi="Arial"/>
                <w:sz w:val="17"/>
              </w:rPr>
              <w:t>Frecuencia, impacto económico, datos, sistema actual, alternativas e integración.</w:t>
            </w:r>
          </w:p>
        </w:tc>
      </w:tr>
      <w:tr>
        <w:tc>
          <w:tcPr>
            <w:tcW w:type="dxa" w:w="1800"/>
            <w:vAlign w:val="center"/>
            <w:tcMar>
              <w:top w:w="110" w:type="dxa"/>
              <w:start w:w="130" w:type="dxa"/>
              <w:bottom w:w="110" w:type="dxa"/>
              <w:end w:w="130" w:type="dxa"/>
            </w:tcMar>
            <w:shd w:fill="EFF5F8"/>
          </w:tcPr>
          <w:p>
            <w:pPr>
              <w:spacing w:after="20" w:line="240" w:lineRule="auto"/>
            </w:pPr>
            <w:r>
              <w:rPr>
                <w:rFonts w:ascii="Arial" w:hAnsi="Arial"/>
                <w:sz w:val="17"/>
              </w:rPr>
              <w:t>Producción y mantenimiento</w:t>
            </w:r>
          </w:p>
        </w:tc>
        <w:tc>
          <w:tcPr>
            <w:tcW w:type="dxa" w:w="4032"/>
            <w:vAlign w:val="center"/>
            <w:tcMar>
              <w:top w:w="110" w:type="dxa"/>
              <w:start w:w="130" w:type="dxa"/>
              <w:bottom w:w="110" w:type="dxa"/>
              <w:end w:w="130" w:type="dxa"/>
            </w:tcMar>
            <w:shd w:fill="EFF5F8"/>
          </w:tcPr>
          <w:p>
            <w:pPr>
              <w:spacing w:after="20" w:line="240" w:lineRule="auto"/>
            </w:pPr>
            <w:r>
              <w:rPr>
                <w:rFonts w:ascii="Arial" w:hAnsi="Arial"/>
                <w:sz w:val="17"/>
              </w:rPr>
              <w:t>AZTI/BDIH señalan registros manuales y datos de planta poco explotados; casos de OEE, medición y alertas.</w:t>
            </w:r>
          </w:p>
        </w:tc>
        <w:tc>
          <w:tcPr>
            <w:tcW w:type="dxa" w:w="3816"/>
            <w:vAlign w:val="center"/>
            <w:tcMar>
              <w:top w:w="110" w:type="dxa"/>
              <w:start w:w="130" w:type="dxa"/>
              <w:bottom w:w="110" w:type="dxa"/>
              <w:end w:w="130" w:type="dxa"/>
            </w:tcMar>
            <w:shd w:fill="EFF5F8"/>
          </w:tcPr>
          <w:p>
            <w:pPr>
              <w:spacing w:after="20" w:line="240" w:lineRule="auto"/>
            </w:pPr>
            <w:r>
              <w:rPr>
                <w:rFonts w:ascii="Arial" w:hAnsi="Arial"/>
                <w:sz w:val="17"/>
              </w:rPr>
              <w:t>Segmento, captura fiable, conectividad, instalación y adopción por operarios.</w:t>
            </w:r>
          </w:p>
        </w:tc>
      </w:tr>
      <w:tr>
        <w:tc>
          <w:tcPr>
            <w:tcW w:type="dxa" w:w="1800"/>
            <w:vAlign w:val="center"/>
            <w:tcMar>
              <w:top w:w="110" w:type="dxa"/>
              <w:start w:w="130" w:type="dxa"/>
              <w:bottom w:w="110" w:type="dxa"/>
              <w:end w:w="130" w:type="dxa"/>
            </w:tcMar>
          </w:tcPr>
          <w:p>
            <w:pPr>
              <w:spacing w:after="20" w:line="240" w:lineRule="auto"/>
            </w:pPr>
            <w:r>
              <w:rPr>
                <w:rFonts w:ascii="Arial" w:hAnsi="Arial"/>
                <w:sz w:val="17"/>
              </w:rPr>
              <w:t>Comercio y cliente</w:t>
            </w:r>
          </w:p>
        </w:tc>
        <w:tc>
          <w:tcPr>
            <w:tcW w:type="dxa" w:w="4032"/>
            <w:vAlign w:val="center"/>
            <w:tcMar>
              <w:top w:w="110" w:type="dxa"/>
              <w:start w:w="130" w:type="dxa"/>
              <w:bottom w:w="110" w:type="dxa"/>
              <w:end w:w="130" w:type="dxa"/>
            </w:tcMar>
          </w:tcPr>
          <w:p>
            <w:pPr>
              <w:spacing w:after="20" w:line="240" w:lineRule="auto"/>
            </w:pPr>
            <w:r>
              <w:rPr>
                <w:rFonts w:ascii="Arial" w:hAnsi="Arial"/>
                <w:sz w:val="17"/>
              </w:rPr>
              <w:t>El plan de Bilbao plantea omnicanalidad y proyectos digitales compartidos.</w:t>
            </w:r>
          </w:p>
        </w:tc>
        <w:tc>
          <w:tcPr>
            <w:tcW w:type="dxa" w:w="3816"/>
            <w:vAlign w:val="center"/>
            <w:tcMar>
              <w:top w:w="110" w:type="dxa"/>
              <w:start w:w="130" w:type="dxa"/>
              <w:bottom w:w="110" w:type="dxa"/>
              <w:end w:w="130" w:type="dxa"/>
            </w:tcMar>
          </w:tcPr>
          <w:p>
            <w:pPr>
              <w:spacing w:after="20" w:line="240" w:lineRule="auto"/>
            </w:pPr>
            <w:r>
              <w:rPr>
                <w:rFonts w:ascii="Arial" w:hAnsi="Arial"/>
                <w:sz w:val="17"/>
              </w:rPr>
              <w:t>Flujo concreto, tamaño de comercio, herramientas y voluntad de compartir datos.</w:t>
            </w:r>
          </w:p>
        </w:tc>
      </w:tr>
      <w:tr>
        <w:tc>
          <w:tcPr>
            <w:tcW w:type="dxa" w:w="1800"/>
            <w:vAlign w:val="center"/>
            <w:tcMar>
              <w:top w:w="110" w:type="dxa"/>
              <w:start w:w="130" w:type="dxa"/>
              <w:bottom w:w="110" w:type="dxa"/>
              <w:end w:w="130" w:type="dxa"/>
            </w:tcMar>
            <w:shd w:fill="EFF5F8"/>
          </w:tcPr>
          <w:p>
            <w:pPr>
              <w:spacing w:after="20" w:line="240" w:lineRule="auto"/>
            </w:pPr>
            <w:r>
              <w:rPr>
                <w:rFonts w:ascii="Arial" w:hAnsi="Arial"/>
                <w:sz w:val="17"/>
              </w:rPr>
              <w:t>Datos e integración</w:t>
            </w:r>
          </w:p>
        </w:tc>
        <w:tc>
          <w:tcPr>
            <w:tcW w:type="dxa" w:w="4032"/>
            <w:vAlign w:val="center"/>
            <w:tcMar>
              <w:top w:w="110" w:type="dxa"/>
              <w:start w:w="130" w:type="dxa"/>
              <w:bottom w:w="110" w:type="dxa"/>
              <w:end w:w="130" w:type="dxa"/>
            </w:tcMar>
            <w:shd w:fill="EFF5F8"/>
          </w:tcPr>
          <w:p>
            <w:pPr>
              <w:spacing w:after="20" w:line="240" w:lineRule="auto"/>
            </w:pPr>
            <w:r>
              <w:rPr>
                <w:rFonts w:ascii="Arial" w:hAnsi="Arial"/>
                <w:sz w:val="17"/>
              </w:rPr>
              <w:t>Barrixe, ESIE y retos señalan tecnologías presentes y necesidad de conectarlas con procesos.</w:t>
            </w:r>
          </w:p>
        </w:tc>
        <w:tc>
          <w:tcPr>
            <w:tcW w:type="dxa" w:w="3816"/>
            <w:vAlign w:val="center"/>
            <w:tcMar>
              <w:top w:w="110" w:type="dxa"/>
              <w:start w:w="130" w:type="dxa"/>
              <w:bottom w:w="110" w:type="dxa"/>
              <w:end w:w="130" w:type="dxa"/>
            </w:tcMar>
            <w:shd w:fill="EFF5F8"/>
          </w:tcPr>
          <w:p>
            <w:pPr>
              <w:spacing w:after="20" w:line="240" w:lineRule="auto"/>
            </w:pPr>
            <w:r>
              <w:rPr>
                <w:rFonts w:ascii="Arial" w:hAnsi="Arial"/>
                <w:sz w:val="17"/>
              </w:rPr>
              <w:t>Dónde se rompe el flujo, calidad/propiedad del dato e interoperabilidad.</w:t>
            </w:r>
          </w:p>
        </w:tc>
      </w:tr>
      <w:tr>
        <w:tc>
          <w:tcPr>
            <w:tcW w:type="dxa" w:w="1800"/>
            <w:vAlign w:val="center"/>
            <w:tcMar>
              <w:top w:w="110" w:type="dxa"/>
              <w:start w:w="130" w:type="dxa"/>
              <w:bottom w:w="110" w:type="dxa"/>
              <w:end w:w="130" w:type="dxa"/>
            </w:tcMar>
          </w:tcPr>
          <w:p>
            <w:pPr>
              <w:spacing w:after="20" w:line="240" w:lineRule="auto"/>
            </w:pPr>
            <w:r>
              <w:rPr>
                <w:rFonts w:ascii="Arial" w:hAnsi="Arial"/>
                <w:sz w:val="17"/>
              </w:rPr>
              <w:t>Capacidad de implantación</w:t>
            </w:r>
          </w:p>
        </w:tc>
        <w:tc>
          <w:tcPr>
            <w:tcW w:type="dxa" w:w="4032"/>
            <w:vAlign w:val="center"/>
            <w:tcMar>
              <w:top w:w="110" w:type="dxa"/>
              <w:start w:w="130" w:type="dxa"/>
              <w:bottom w:w="110" w:type="dxa"/>
              <w:end w:w="130" w:type="dxa"/>
            </w:tcMar>
          </w:tcPr>
          <w:p>
            <w:pPr>
              <w:spacing w:after="20" w:line="240" w:lineRule="auto"/>
            </w:pPr>
            <w:r>
              <w:rPr>
                <w:rFonts w:ascii="Arial" w:hAnsi="Arial"/>
                <w:sz w:val="17"/>
              </w:rPr>
              <w:t>Barrixe, AZTI y Confebask describen falta de tiempo, recursos, conocimiento, talento o financiación.</w:t>
            </w:r>
          </w:p>
        </w:tc>
        <w:tc>
          <w:tcPr>
            <w:tcW w:type="dxa" w:w="3816"/>
            <w:vAlign w:val="center"/>
            <w:tcMar>
              <w:top w:w="110" w:type="dxa"/>
              <w:start w:w="130" w:type="dxa"/>
              <w:bottom w:w="110" w:type="dxa"/>
              <w:end w:w="130" w:type="dxa"/>
            </w:tcMar>
          </w:tcPr>
          <w:p>
            <w:pPr>
              <w:spacing w:after="20" w:line="240" w:lineRule="auto"/>
            </w:pPr>
            <w:r>
              <w:rPr>
                <w:rFonts w:ascii="Arial" w:hAnsi="Arial"/>
                <w:sz w:val="17"/>
              </w:rPr>
              <w:t>Si el bloqueo requiere software, asesoramiento, formación, financiación o cambio organizativo.</w:t>
            </w:r>
          </w:p>
        </w:tc>
      </w:tr>
    </w:tbl>
    <w:p>
      <w:pPr>
        <w:pStyle w:val="Heading1"/>
        <w:spacing w:line="240" w:lineRule="auto" w:after="60"/>
      </w:pPr>
      <w:r>
        <w:t>5. Valoración y límites de la evidencia</w:t>
      </w:r>
    </w:p>
    <w:p>
      <w:pPr>
        <w:pStyle w:val="ListBullet"/>
        <w:spacing w:line="240" w:lineRule="auto" w:after="60"/>
        <w:ind w:left="360" w:hanging="216"/>
      </w:pPr>
      <w:r>
        <w:t>Para prevalencia territorial de digitalización, barrixe es la fuente directa más útil, circunscrita al universo y definiciones de su método.</w:t>
      </w:r>
    </w:p>
    <w:p>
      <w:pPr>
        <w:pStyle w:val="ListBullet"/>
        <w:spacing w:line="240" w:lineRule="auto" w:after="60"/>
        <w:ind w:left="360" w:hanging="216"/>
      </w:pPr>
      <w:r>
        <w:t>Para adopción por establecimiento y cortes sectoriales/territoriales, ESIE aporta diseño e instrumento; no identifica software que falte.</w:t>
      </w:r>
    </w:p>
    <w:p>
      <w:pPr>
        <w:pStyle w:val="ListBullet"/>
        <w:spacing w:line="240" w:lineRule="auto" w:after="60"/>
        <w:ind w:left="360" w:hanging="216"/>
      </w:pPr>
      <w:r>
        <w:t>Beaz y CEBEK aportan coyuntura; conservar edición, marco de selección, fecha y tamaño propios. CEBEK representa asociados.</w:t>
      </w:r>
    </w:p>
    <w:p>
      <w:pPr>
        <w:pStyle w:val="ListBullet"/>
        <w:spacing w:line="240" w:lineRule="auto" w:after="60"/>
        <w:ind w:left="360" w:hanging="216"/>
      </w:pPr>
      <w:r>
        <w:t>AZTI es pertinente para alimentación y operaciones, pero el campo es de 2018. Confebask aporta industria vasca, no estimación específica de Bizkaia.</w:t>
      </w:r>
    </w:p>
    <w:p>
      <w:pPr>
        <w:pStyle w:val="ListBullet"/>
        <w:spacing w:line="240" w:lineRule="auto" w:after="60"/>
        <w:ind w:left="360" w:hanging="216"/>
      </w:pPr>
      <w:r>
        <w:t>BiOK, BAT y BIND describen retos seleccionados; BDIH recoge casos resueltos. Mantener ambas clases separadas y con sus sesgos editoriales.</w:t>
      </w:r>
    </w:p>
    <w:p>
      <w:pPr>
        <w:pStyle w:val="ListBullet"/>
        <w:spacing w:line="240" w:lineRule="auto" w:after="60"/>
        <w:ind w:left="360" w:hanging="216"/>
      </w:pPr>
      <w:r>
        <w:t>La ausencia de una herramienta en un texto no demuestra que no exista. Las fuentes públicas suelen omitir proveedor, versión, integración, intentos, costes y satisfacción.</w:t>
      </w:r>
    </w:p>
    <w:p>
      <w:pPr>
        <w:pStyle w:val="Heading1"/>
        <w:spacing w:line="240" w:lineRule="auto" w:after="60"/>
      </w:pPr>
      <w:r>
        <w:t>6. Protocolo recomendado para el nuevo corpus</w:t>
      </w:r>
    </w:p>
    <w:p>
      <w:pPr>
        <w:keepNext w:val="0"/>
        <w:spacing w:line="240" w:lineRule="auto" w:after="60"/>
      </w:pPr>
      <w:r>
        <w:t>Crear una ficha por necesidad concreta. Conservar fragmento original, URL, paráfrasis, fuente, empresa/actor, fecha y sector. Relacionar cada ficha con documento y versión; deduplicar republicaciones del mismo reto.</w:t>
      </w:r>
    </w:p>
    <w:p>
      <w:pPr>
        <w:pStyle w:val="ListBullet"/>
        <w:spacing w:line="240" w:lineRule="auto" w:after="60"/>
        <w:ind w:left="360" w:hanging="216"/>
      </w:pPr>
      <w:r>
        <w:t>Campos mínimos: identificador; URL/archivo local; fecha de publicación y de campo; actor y localidad; sector; unidad (empresa, establecimiento, planta o comercio); proceso y tarea; detonante; consecuencia/coste; frecuencia; datos y sistemas; solución actual; restricciones de integración/seguridad; estado (reto abierto, piloto o caso resuelto); evidencia; cita y página/sección.</w:t>
      </w:r>
    </w:p>
    <w:p>
      <w:pPr>
        <w:pStyle w:val="ListBullet"/>
        <w:spacing w:line="240" w:lineRule="auto" w:after="60"/>
        <w:ind w:left="360" w:hanging="216"/>
      </w:pPr>
      <w:r>
        <w:t>Codificar software no cubierto como “no informado” si no se detallan herramientas; “brecha candidata” si hay fallo o trabajo manual; “brecha contrastada” solo si constan herramientas probadas, motivo de insuficiencia y contexto de adopción.</w:t>
      </w:r>
    </w:p>
    <w:p>
      <w:pPr>
        <w:pStyle w:val="ListBullet"/>
        <w:spacing w:line="240" w:lineRule="auto" w:after="60"/>
        <w:ind w:left="360" w:hanging="216"/>
      </w:pPr>
      <w:r>
        <w:t>Excluir textos promocionales de proveedor como evidencia de dolor; mantenerlos como contexto de oferta. Los casos de éxito se etiquetan como solución aplicada y se buscan alternativas fallidas o restricciones complementarias.</w:t>
      </w:r>
    </w:p>
    <w:p>
      <w:pPr>
        <w:pStyle w:val="ListBullet"/>
        <w:spacing w:line="240" w:lineRule="auto" w:after="60"/>
        <w:ind w:left="360" w:hanging="216"/>
      </w:pPr>
      <w:r>
        <w:t>Pilotar con 10–15 fichas y revisar desacuerdos antes de ampliar. Contar documentos/retos, nunca convertir el corpus seleccionado en porcentajes de empresas.</w:t>
      </w:r>
    </w:p>
    <w:p>
      <w:pPr>
        <w:pStyle w:val="Heading1"/>
        <w:spacing w:line="240" w:lineRule="auto" w:after="60"/>
      </w:pPr>
      <w:r>
        <w:t>7. Preguntas de contraste para entrevistas</w:t>
      </w:r>
    </w:p>
    <w:p>
      <w:pPr>
        <w:pStyle w:val="ListBullet"/>
        <w:spacing w:line="240" w:lineRule="auto" w:after="60"/>
        <w:ind w:left="360" w:hanging="216"/>
      </w:pPr>
      <w:r>
        <w:t>¿Qué tarea concreta le hace perder tiempo, dinero, calidad o ventas y cuándo ocurrió por última vez?</w:t>
      </w:r>
    </w:p>
    <w:p>
      <w:pPr>
        <w:pStyle w:val="ListBullet"/>
        <w:spacing w:line="240" w:lineRule="auto" w:after="60"/>
        <w:ind w:left="360" w:hanging="216"/>
      </w:pPr>
      <w:r>
        <w:t>¿Con qué frecuencia pasa y qué consecuencia medible deja (horas, errores, stock, retraso, energía, reclamación)?</w:t>
      </w:r>
    </w:p>
    <w:p>
      <w:pPr>
        <w:pStyle w:val="ListBullet"/>
        <w:spacing w:line="240" w:lineRule="auto" w:after="60"/>
        <w:ind w:left="360" w:hanging="216"/>
      </w:pPr>
      <w:r>
        <w:t>¿Cómo se resuelve hoy y qué personas, hojas de cálculo, ERP, herramientas o proveedores participan?</w:t>
      </w:r>
    </w:p>
    <w:p>
      <w:pPr>
        <w:pStyle w:val="ListBullet"/>
        <w:spacing w:line="240" w:lineRule="auto" w:after="60"/>
        <w:ind w:left="360" w:hanging="216"/>
      </w:pPr>
      <w:r>
        <w:t>¿Qué no funciona de la solución actual? ¿Qué intentó cambiar y por qué no resultó?</w:t>
      </w:r>
    </w:p>
    <w:p>
      <w:pPr>
        <w:pStyle w:val="ListBullet"/>
        <w:spacing w:line="240" w:lineRule="auto" w:after="60"/>
        <w:ind w:left="360" w:hanging="216"/>
      </w:pPr>
      <w:r>
        <w:t>¿Qué datos hacen falta y dónde están? ¿Qué sistemas deben integrarse y qué restricciones de seguridad existen?</w:t>
      </w:r>
    </w:p>
    <w:p>
      <w:pPr>
        <w:pStyle w:val="ListBullet"/>
        <w:spacing w:line="240" w:lineRule="auto" w:after="60"/>
        <w:ind w:left="360" w:hanging="216"/>
      </w:pPr>
      <w:r>
        <w:t>¿Qué parte persiste aunque el software esté instalado: proceso, formación, tiempo, presupuesto, calidad del dato o responsabilidades?</w:t>
      </w:r>
    </w:p>
    <w:p>
      <w:pPr>
        <w:pStyle w:val="ListBullet"/>
        <w:spacing w:line="240" w:lineRule="auto" w:after="60"/>
        <w:ind w:left="360" w:hanging="216"/>
      </w:pPr>
      <w:r>
        <w:t>¿Qué alternativa usaría si no hubiera una nueva aplicación? ¿Qué tendría que mejorar para justificar piloto y compra?</w:t>
      </w:r>
    </w:p>
    <w:p>
      <w:pPr>
        <w:pStyle w:val="ListBullet"/>
        <w:spacing w:line="240" w:lineRule="auto" w:after="60"/>
        <w:ind w:left="360" w:hanging="216"/>
      </w:pPr>
      <w:r>
        <w:t>¿Quién decide, usa y paga; qué presupuesto y plazo condicionan la adopción?</w:t>
      </w:r>
    </w:p>
    <w:p>
      <w:pPr>
        <w:pStyle w:val="Heading1"/>
        <w:spacing w:line="240" w:lineRule="auto" w:after="60"/>
      </w:pPr>
      <w:r>
        <w:t>8. Conclusión</w:t>
      </w:r>
    </w:p>
    <w:p>
      <w:pPr>
        <w:spacing w:line="240" w:lineRule="auto" w:after="60"/>
      </w:pPr>
      <w:r>
        <w:t>La evidencia justifica investigar problemas de inventario y suministro, uso de datos industriales, omnicanalidad comercial e integración/implantación. No permite afirmar todavía que haya una oportunidad de software sin cubrir en Bizkaia ni ordenarla por frecuencia. El paso siguiente es contrastar las señales con empresas por sector y tamaño, reconstruyendo flujos actuales y soluciones intentadas antes de diseñar producto.</w:t>
      </w:r>
    </w:p>
    <w:p>
      <w:pPr>
        <w:pStyle w:val="Heading1"/>
        <w:spacing w:line="240" w:lineRule="auto" w:after="60"/>
      </w:pPr>
      <w:r>
        <w:t>Anexo. Organización de las fuentes descargadas</w:t>
      </w:r>
    </w:p>
    <w:p>
      <w:pPr>
        <w:pStyle w:val="ListBullet"/>
        <w:spacing w:line="240" w:lineRule="auto" w:after="60"/>
        <w:ind w:left="360" w:hanging="216"/>
      </w:pPr>
      <w:r>
        <w:t>01_encuestas_bizkaia — barrixe, Beaz y CEBEK</w:t>
      </w:r>
    </w:p>
    <w:p>
      <w:pPr>
        <w:pStyle w:val="ListBullet"/>
        <w:spacing w:line="240" w:lineRule="auto" w:after="60"/>
        <w:ind w:left="360" w:hanging="216"/>
      </w:pPr>
      <w:r>
        <w:t>02_encuestas_euskadi — Eustat, AZTI y Confebask</w:t>
      </w:r>
    </w:p>
    <w:p>
      <w:pPr>
        <w:pStyle w:val="ListBullet"/>
        <w:spacing w:line="240" w:lineRule="auto" w:after="60"/>
        <w:ind w:left="360" w:hanging="216"/>
      </w:pPr>
      <w:r>
        <w:t>03_instrumentos_metodologia — cuestionarios y fichas metodológicas Eustat</w:t>
      </w:r>
    </w:p>
    <w:p>
      <w:pPr>
        <w:pStyle w:val="ListBullet"/>
        <w:spacing w:line="240" w:lineRule="auto" w:after="60"/>
        <w:ind w:left="360" w:hanging="216"/>
      </w:pPr>
      <w:r>
        <w:t>04_corpus_bizkaia — BiOK, BAT, BDIH y comercio de Bilbao</w:t>
      </w:r>
    </w:p>
    <w:p>
      <w:pPr>
        <w:pStyle w:val="ListBullet"/>
        <w:spacing w:line="240" w:lineRule="auto" w:after="60"/>
        <w:ind w:left="360" w:hanging="216"/>
      </w:pPr>
      <w:r>
        <w:t>05_corpus_euskadi — BIND SME</w:t>
      </w:r>
    </w:p>
    <w:p>
      <w:pPr>
        <w:keepNext w:val="0"/>
        <w:spacing w:line="240" w:lineRule="auto" w:after="0" w:before="0"/>
      </w:pPr>
      <w:r>
        <w:t>Los manifiestos JSON registran URL, ruta local, estado, tamaño y SHA-256. El índice de fuentes CSV reúne los registros. La fecha de descarga no sustituye publicación ni periodo de referencia.</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Dolores empresariales y digitalización en Bizkaia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color w:val="2D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80" w:after="100" w:line="259" w:lineRule="auto"/>
      <w:outlineLvl w:val="0"/>
    </w:pPr>
    <w:rPr>
      <w:rFonts w:asciiTheme="majorHAnsi" w:eastAsiaTheme="majorEastAsia" w:hAnsiTheme="majorHAnsi" w:cstheme="majorBidi" w:ascii="Arial" w:hAnsi="Arial"/>
      <w:b/>
      <w:bCs/>
      <w:color w:val="18344A"/>
      <w:sz w:val="34"/>
      <w:szCs w:val="28"/>
    </w:rPr>
  </w:style>
  <w:style w:type="paragraph" w:styleId="Heading2">
    <w:name w:val="heading 2"/>
    <w:basedOn w:val="Normal"/>
    <w:next w:val="Normal"/>
    <w:link w:val="Heading2Char"/>
    <w:uiPriority w:val="9"/>
    <w:unhideWhenUsed/>
    <w:qFormat/>
    <w:rsid w:val="00FC693F"/>
    <w:pPr>
      <w:keepNext/>
      <w:keepLines/>
      <w:pageBreakBefore w:val="0"/>
      <w:spacing w:before="200" w:after="100" w:line="259" w:lineRule="auto"/>
      <w:outlineLvl w:val="1"/>
    </w:pPr>
    <w:rPr>
      <w:rFonts w:asciiTheme="majorHAnsi" w:eastAsiaTheme="majorEastAsia" w:hAnsiTheme="majorHAnsi" w:cstheme="majorBidi" w:ascii="Arial" w:hAnsi="Arial"/>
      <w:b/>
      <w:bCs/>
      <w:color w:val="167D9A"/>
      <w:sz w:val="25"/>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59" w:lineRule="auto"/>
      <w:outlineLvl w:val="2"/>
    </w:pPr>
    <w:rPr>
      <w:rFonts w:asciiTheme="majorHAnsi" w:eastAsiaTheme="majorEastAsia" w:hAnsiTheme="majorHAnsi" w:cstheme="majorBidi" w:ascii="Arial" w:hAnsi="Arial"/>
      <w:b/>
      <w:bCs/>
      <w:color w:val="18344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ageBreakBefore w:val="0"/>
      <w:pBdr>
        <w:bottom w:val="single" w:sz="8" w:space="4" w:color="4F81BD" w:themeColor="accent1"/>
      </w:pBdr>
      <w:spacing w:after="100" w:line="259" w:lineRule="auto"/>
      <w:contextualSpacing/>
    </w:pPr>
    <w:rPr>
      <w:rFonts w:asciiTheme="majorHAnsi" w:eastAsiaTheme="majorEastAsia" w:hAnsiTheme="majorHAnsi" w:cstheme="majorBidi" w:ascii="Arial" w:hAnsi="Arial"/>
      <w:b/>
      <w:color w:val="1834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barrixe.com/es/informes/la-transformacion-digital-en-las-empresas-de-bizkaia/" TargetMode="External"/><Relationship Id="rId11" Type="http://schemas.openxmlformats.org/officeDocument/2006/relationships/hyperlink" Target="https://www.bizkaia.eus/es/web/comunicacion/noticias/-/news/detailView/el-88-de-las-pymes-de-bizkaia-preve-mantener-o-aumentar-sus-ventas-y-el-91-su-empleo-en-2026" TargetMode="External"/><Relationship Id="rId12" Type="http://schemas.openxmlformats.org/officeDocument/2006/relationships/hyperlink" Target="https://www.cebek.es/wp-content/uploads/sites/3/2026/05/Informe-AG-2026-Coyuntura.pdf" TargetMode="External"/><Relationship Id="rId13" Type="http://schemas.openxmlformats.org/officeDocument/2006/relationships/hyperlink" Target="https://es.eustat.eus/document/esie_c.html" TargetMode="External"/><Relationship Id="rId14" Type="http://schemas.openxmlformats.org/officeDocument/2006/relationships/hyperlink" Target="https://es.eustat.eus/document/eit_c.asp" TargetMode="External"/><Relationship Id="rId15" Type="http://schemas.openxmlformats.org/officeDocument/2006/relationships/hyperlink" Target="https://old.azti.es/productos/diagnostico-industria-alimentaria-vasca-4-0/" TargetMode="External"/><Relationship Id="rId16" Type="http://schemas.openxmlformats.org/officeDocument/2006/relationships/hyperlink" Target="https://www.confebask.eus/sites/default/files/noticias/2021-10/Resultados%20II%20Encuesta%20Empresas%20Vasca%20%26%20Industria%20Inteligente_0.pdf" TargetMode="External"/><Relationship Id="rId17" Type="http://schemas.openxmlformats.org/officeDocument/2006/relationships/hyperlink" Target="https://bizkaiaok.eus/es/retos/" TargetMode="External"/><Relationship Id="rId18" Type="http://schemas.openxmlformats.org/officeDocument/2006/relationships/hyperlink" Target="https://www.bizkaia.eus/es/web/comunicacion/noticias/-/news/detailView/bat-impulsa-seis-retos-de-innovacion-abierta-con-corporaciones-lideres-para-acelerar-la-colaboracion-con-startups-tecnologicas" TargetMode="External"/><Relationship Id="rId19" Type="http://schemas.openxmlformats.org/officeDocument/2006/relationships/hyperlink" Target="https://www.bilbaoekintza.eus/comercio/servicio-de-analisis-y-estrategia-del-comercio" TargetMode="External"/><Relationship Id="rId20" Type="http://schemas.openxmlformats.org/officeDocument/2006/relationships/hyperlink" Target="https://bdih.spri.eus/es/casos-de-uso/" TargetMode="External"/><Relationship Id="rId21" Type="http://schemas.openxmlformats.org/officeDocument/2006/relationships/hyperlink" Target="https://bind.spri.eus/es/startup-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Dolores empresariales y digitalización en Bizkaia</dc:title>
  <dc:subject>Análisis de fuentes abiertas y valoración para un corpus de investigación</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