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ESTUDIO CUALITATIVO  ·  PROTOCOLO DE ANÁLISIS</w:t>
      </w:r>
    </w:p>
    <w:tbl>
      <w:tblPr>
        <w:tblW w:type="auto" w:w="0"/>
        <w:tblLook w:firstColumn="1" w:firstRow="1" w:lastColumn="0" w:lastRow="0" w:noHBand="0" w:noVBand="1" w:val="04A0"/>
      </w:tblPr>
      <w:tblGrid>
        <w:gridCol w:w="10224"/>
      </w:tblGrid>
      <w:tr>
        <w:tc>
          <w:tcPr>
            <w:tcW w:type="dxa" w:w="10224"/>
            <w:shd w:fill="EAF2F4"/>
          </w:tcPr>
          <w:p>
            <w:r>
              <w:rPr>
                <w:b/>
                <w:color w:val="147D80"/>
              </w:rPr>
              <w:t>CONTEXTO METODOLÓGICO</w:t>
            </w:r>
          </w:p>
        </w:tc>
      </w:tr>
    </w:tbl>
    <w:p/>
    <w:p>
      <w:pPr>
        <w:pStyle w:val="Title"/>
      </w:pPr>
      <w:r>
        <w:t>Quejas públicas y necesidades de software en Bizkaia</w:t>
      </w:r>
    </w:p>
    <w:p>
      <w:r>
        <w:rPr>
          <w:color w:val="536273"/>
          <w:sz w:val="26"/>
        </w:rPr>
        <w:t>Diseño para analizar problemas de trabajo expresados por empresas y profesionales autónomos con actividad local verificable</w:t>
      </w:r>
    </w:p>
    <w:p>
      <w:pPr>
        <w:pStyle w:val="Heading2"/>
      </w:pPr>
      <w:r>
        <w:t>Propósito</w:t>
      </w:r>
    </w:p>
    <w:p>
      <w:r>
        <w:t>Este documento fija el contexto y las reglas de un estudio cualitativo basado exclusivamente en materiales públicos existentes. Organiza la observación de quejas empresariales y profesionales y establece cómo evaluar si cada caso aporta evidencia de dolor operativo, posible requisito de software, barrera de implantación o brecha acotada de oferta. No se realizarán encuestas ni entrevistas.</w:t>
      </w:r>
    </w:p>
    <w:p>
      <w:pPr>
        <w:pStyle w:val="Heading2"/>
      </w:pPr>
      <w:r>
        <w:t>Principio de lectura</w:t>
      </w:r>
    </w:p>
    <w:p>
      <w:r>
        <w:t>La queja es evidencia de una declaración situada. No demuestra por sí misma que el perjuicio sea objetivamente cierto, que el software sea la solución ni que exista una oportunidad comercial. Cada vínculo se documenta y evalúa por separado.</w:t>
      </w:r>
    </w:p>
    <w:tbl>
      <w:tblPr>
        <w:tblStyle w:val="TableGrid"/>
        <w:tblW w:type="auto" w:w="0"/>
        <w:jc w:val="center"/>
        <w:tblLayout w:type="fixed"/>
        <w:tblLook w:firstColumn="1" w:firstRow="1" w:lastColumn="0" w:lastRow="0" w:noHBand="0" w:noVBand="1" w:val="04A0"/>
      </w:tblPr>
      <w:tblGrid>
        <w:gridCol w:w="1728"/>
        <w:gridCol w:w="403"/>
        <w:gridCol w:w="1656"/>
        <w:gridCol w:w="403"/>
        <w:gridCol w:w="1800"/>
        <w:gridCol w:w="403"/>
        <w:gridCol w:w="1944"/>
        <w:gridCol w:w="403"/>
        <w:gridCol w:w="2088"/>
      </w:tblGrid>
      <w:tr>
        <w:tc>
          <w:tcPr>
            <w:tcW w:type="dxa" w:w="1136"/>
            <w:shd w:fill="17324D"/>
          </w:tcPr>
          <w:p>
            <w:r>
              <w:rPr>
                <w:b/>
                <w:color w:val="FFFFFF"/>
                <w:sz w:val="14"/>
              </w:rPr>
              <w:t>Queja pública</w:t>
            </w:r>
          </w:p>
        </w:tc>
        <w:tc>
          <w:tcPr>
            <w:tcW w:type="dxa" w:w="1136"/>
            <w:shd w:fill="17324D"/>
          </w:tcPr>
          <w:p>
            <w:r>
              <w:rPr>
                <w:b/>
                <w:color w:val="FFFFFF"/>
                <w:sz w:val="14"/>
              </w:rPr>
              <w:t>→</w:t>
            </w:r>
          </w:p>
        </w:tc>
        <w:tc>
          <w:tcPr>
            <w:tcW w:type="dxa" w:w="1136"/>
            <w:shd w:fill="17324D"/>
          </w:tcPr>
          <w:p>
            <w:r>
              <w:rPr>
                <w:b/>
                <w:color w:val="FFFFFF"/>
                <w:sz w:val="14"/>
              </w:rPr>
              <w:t>Dolor operativo</w:t>
            </w:r>
          </w:p>
        </w:tc>
        <w:tc>
          <w:tcPr>
            <w:tcW w:type="dxa" w:w="1136"/>
            <w:shd w:fill="17324D"/>
          </w:tcPr>
          <w:p>
            <w:r>
              <w:rPr>
                <w:b/>
                <w:color w:val="FFFFFF"/>
                <w:sz w:val="14"/>
              </w:rPr>
              <w:t>→</w:t>
            </w:r>
          </w:p>
        </w:tc>
        <w:tc>
          <w:tcPr>
            <w:tcW w:type="dxa" w:w="1136"/>
            <w:shd w:fill="17324D"/>
          </w:tcPr>
          <w:p>
            <w:r>
              <w:rPr>
                <w:b/>
                <w:color w:val="FFFFFF"/>
                <w:sz w:val="14"/>
              </w:rPr>
              <w:t>Mecanismo digital</w:t>
            </w:r>
          </w:p>
        </w:tc>
        <w:tc>
          <w:tcPr>
            <w:tcW w:type="dxa" w:w="1136"/>
            <w:shd w:fill="17324D"/>
          </w:tcPr>
          <w:p>
            <w:r>
              <w:rPr>
                <w:b/>
                <w:color w:val="FFFFFF"/>
                <w:sz w:val="14"/>
              </w:rPr>
              <w:t>→</w:t>
            </w:r>
          </w:p>
        </w:tc>
        <w:tc>
          <w:tcPr>
            <w:tcW w:type="dxa" w:w="1136"/>
            <w:shd w:fill="17324D"/>
          </w:tcPr>
          <w:p>
            <w:r>
              <w:rPr>
                <w:b/>
                <w:color w:val="FFFFFF"/>
                <w:sz w:val="14"/>
              </w:rPr>
              <w:t>Requisito técnico</w:t>
            </w:r>
          </w:p>
        </w:tc>
        <w:tc>
          <w:tcPr>
            <w:tcW w:type="dxa" w:w="1136"/>
            <w:shd w:fill="17324D"/>
          </w:tcPr>
          <w:p>
            <w:r>
              <w:rPr>
                <w:b/>
                <w:color w:val="FFFFFF"/>
                <w:sz w:val="14"/>
              </w:rPr>
              <w:t>→</w:t>
            </w:r>
          </w:p>
        </w:tc>
        <w:tc>
          <w:tcPr>
            <w:tcW w:type="dxa" w:w="1136"/>
            <w:shd w:fill="17324D"/>
          </w:tcPr>
          <w:p>
            <w:r>
              <w:rPr>
                <w:b/>
                <w:color w:val="FFFFFF"/>
                <w:sz w:val="14"/>
              </w:rPr>
              <w:t>Barrera / brecha</w:t>
            </w:r>
          </w:p>
        </w:tc>
      </w:tr>
      <w:tr>
        <w:tc>
          <w:tcPr>
            <w:tcW w:type="dxa" w:w="1728"/>
            <w:shd w:fill="FFFFFF"/>
            <w:vAlign w:val="center"/>
          </w:tcPr>
          <w:p>
            <w:pPr>
              <w:spacing w:after="0" w:line="240" w:lineRule="auto"/>
            </w:pPr>
            <w:r>
              <w:rPr>
                <w:color w:val="17324D"/>
                <w:sz w:val="14"/>
              </w:rPr>
              <w:t>Expresión del actor</w:t>
            </w:r>
          </w:p>
        </w:tc>
        <w:tc>
          <w:tcPr>
            <w:tcW w:type="dxa" w:w="403"/>
            <w:shd w:fill="FFFFFF"/>
            <w:vAlign w:val="center"/>
          </w:tcPr>
          <w:p>
            <w:pPr>
              <w:spacing w:after="0" w:line="240" w:lineRule="auto"/>
            </w:pPr>
            <w:r>
              <w:rPr>
                <w:color w:val="17324D"/>
                <w:sz w:val="14"/>
              </w:rPr>
              <w:t>→</w:t>
            </w:r>
          </w:p>
        </w:tc>
        <w:tc>
          <w:tcPr>
            <w:tcW w:type="dxa" w:w="1656"/>
            <w:shd w:fill="FFFFFF"/>
            <w:vAlign w:val="center"/>
          </w:tcPr>
          <w:p>
            <w:pPr>
              <w:spacing w:after="0" w:line="240" w:lineRule="auto"/>
            </w:pPr>
            <w:r>
              <w:rPr>
                <w:color w:val="17324D"/>
                <w:sz w:val="14"/>
              </w:rPr>
              <w:t>Tarea y efecto</w:t>
            </w:r>
          </w:p>
        </w:tc>
        <w:tc>
          <w:tcPr>
            <w:tcW w:type="dxa" w:w="403"/>
            <w:shd w:fill="FFFFFF"/>
            <w:vAlign w:val="center"/>
          </w:tcPr>
          <w:p>
            <w:pPr>
              <w:spacing w:after="0" w:line="240" w:lineRule="auto"/>
            </w:pPr>
            <w:r>
              <w:rPr>
                <w:color w:val="17324D"/>
                <w:sz w:val="14"/>
              </w:rPr>
              <w:t>→</w:t>
            </w:r>
          </w:p>
        </w:tc>
        <w:tc>
          <w:tcPr>
            <w:tcW w:type="dxa" w:w="1800"/>
            <w:shd w:fill="FFFFFF"/>
            <w:vAlign w:val="center"/>
          </w:tcPr>
          <w:p>
            <w:pPr>
              <w:spacing w:after="0" w:line="240" w:lineRule="auto"/>
            </w:pPr>
            <w:r>
              <w:rPr>
                <w:color w:val="17324D"/>
                <w:sz w:val="14"/>
              </w:rPr>
              <w:t>Posible nexo causal</w:t>
            </w:r>
          </w:p>
        </w:tc>
        <w:tc>
          <w:tcPr>
            <w:tcW w:type="dxa" w:w="403"/>
            <w:shd w:fill="FFFFFF"/>
            <w:vAlign w:val="center"/>
          </w:tcPr>
          <w:p>
            <w:pPr>
              <w:spacing w:after="0" w:line="240" w:lineRule="auto"/>
            </w:pPr>
            <w:r>
              <w:rPr>
                <w:color w:val="17324D"/>
                <w:sz w:val="14"/>
              </w:rPr>
              <w:t>→</w:t>
            </w:r>
          </w:p>
        </w:tc>
        <w:tc>
          <w:tcPr>
            <w:tcW w:type="dxa" w:w="1944"/>
            <w:shd w:fill="FFFFFF"/>
            <w:vAlign w:val="center"/>
          </w:tcPr>
          <w:p>
            <w:pPr>
              <w:spacing w:after="0" w:line="240" w:lineRule="auto"/>
            </w:pPr>
            <w:r>
              <w:rPr>
                <w:color w:val="17324D"/>
                <w:sz w:val="14"/>
              </w:rPr>
              <w:t>Acción, datos o condición</w:t>
            </w:r>
          </w:p>
        </w:tc>
        <w:tc>
          <w:tcPr>
            <w:tcW w:type="dxa" w:w="403"/>
            <w:shd w:fill="FFFFFF"/>
            <w:vAlign w:val="center"/>
          </w:tcPr>
          <w:p>
            <w:pPr>
              <w:spacing w:after="0" w:line="240" w:lineRule="auto"/>
            </w:pPr>
            <w:r>
              <w:rPr>
                <w:color w:val="17324D"/>
                <w:sz w:val="14"/>
              </w:rPr>
              <w:t>→</w:t>
            </w:r>
          </w:p>
        </w:tc>
        <w:tc>
          <w:tcPr>
            <w:tcW w:type="dxa" w:w="2088"/>
            <w:shd w:fill="FFFFFF"/>
            <w:vAlign w:val="center"/>
          </w:tcPr>
          <w:p>
            <w:pPr>
              <w:spacing w:after="0" w:line="240" w:lineRule="auto"/>
            </w:pPr>
            <w:r>
              <w:rPr>
                <w:color w:val="17324D"/>
                <w:sz w:val="14"/>
              </w:rPr>
              <w:t>Adopción / opciones</w:t>
            </w:r>
          </w:p>
        </w:tc>
      </w:tr>
    </w:tbl>
    <w:p>
      <w:pPr>
        <w:spacing w:after="0"/>
      </w:pPr>
    </w:p>
    <w:p>
      <w:pPr>
        <w:pStyle w:val="Heading2"/>
      </w:pPr>
      <w:r>
        <w:t>Alcance de las conclusiones</w:t>
      </w:r>
    </w:p>
    <w:p>
      <w:r>
        <w:t>El resultado esperado son hipótesis situadas y trazables. El diseño no estima prevalencia en Bizkaia, intención de compra, causalidad ni tamaño de mercado.</w:t>
      </w:r>
    </w:p>
    <w:p>
      <w:r>
        <w:br w:type="page"/>
      </w:r>
    </w:p>
    <w:p>
      <w:pPr>
        <w:pStyle w:val="Heading1"/>
      </w:pPr>
      <w:r>
        <w:t>1. Pregunta y lógica del estudio</w:t>
      </w:r>
    </w:p>
    <w:p>
      <w:pPr>
        <w:pStyle w:val="Heading2"/>
      </w:pPr>
      <w:r>
        <w:t>Pregunta central</w:t>
      </w:r>
    </w:p>
    <w:p>
      <w:r>
        <w:t>¿Qué problemas de trabajo expresan públicamente empresas y profesionales autónomos con actividad verificable en Bizkaia, y qué evidencia permite relacionarlos —o no— con requisitos de software, barreras de implantación y brechas de oferta?</w:t>
      </w:r>
    </w:p>
    <w:p>
      <w:r>
        <w:t>Se entenderá por «queja de empresa o autónomo» una declaración emitida por el propio negocio o profesional en el marco de su actividad. Se examina cómo describe el problema, qué proceso afecta y qué evidencia sostiene cada interpretación, incluyendo alternativas no digitales y casos contrarios.</w:t>
      </w:r>
    </w:p>
    <w:tbl>
      <w:tblPr>
        <w:tblStyle w:val="TableGrid"/>
        <w:tblW w:type="auto" w:w="0"/>
        <w:jc w:val="center"/>
        <w:tblLayout w:type="fixed"/>
        <w:tblLook w:firstColumn="1" w:firstRow="1" w:lastColumn="0" w:lastRow="0" w:noHBand="0" w:noVBand="1" w:val="04A0"/>
      </w:tblPr>
      <w:tblGrid>
        <w:gridCol w:w="1800"/>
        <w:gridCol w:w="3960"/>
        <w:gridCol w:w="4464"/>
      </w:tblGrid>
      <w:tr>
        <w:tc>
          <w:tcPr>
            <w:tcW w:type="dxa" w:w="3408"/>
            <w:shd w:fill="17324D"/>
          </w:tcPr>
          <w:p>
            <w:r>
              <w:rPr>
                <w:b/>
                <w:color w:val="FFFFFF"/>
                <w:sz w:val="16"/>
              </w:rPr>
              <w:t>Concepto</w:t>
            </w:r>
          </w:p>
        </w:tc>
        <w:tc>
          <w:tcPr>
            <w:tcW w:type="dxa" w:w="3408"/>
            <w:shd w:fill="17324D"/>
          </w:tcPr>
          <w:p>
            <w:r>
              <w:rPr>
                <w:b/>
                <w:color w:val="FFFFFF"/>
                <w:sz w:val="16"/>
              </w:rPr>
              <w:t>Pregunta analítica</w:t>
            </w:r>
          </w:p>
        </w:tc>
        <w:tc>
          <w:tcPr>
            <w:tcW w:type="dxa" w:w="3408"/>
            <w:shd w:fill="17324D"/>
          </w:tcPr>
          <w:p>
            <w:r>
              <w:rPr>
                <w:b/>
                <w:color w:val="FFFFFF"/>
                <w:sz w:val="16"/>
              </w:rPr>
              <w:t>No permite concluir por sí solo</w:t>
            </w:r>
          </w:p>
        </w:tc>
      </w:tr>
      <w:tr>
        <w:tc>
          <w:tcPr>
            <w:tcW w:type="dxa" w:w="1800"/>
            <w:shd w:fill="FFFFFF"/>
            <w:vAlign w:val="center"/>
          </w:tcPr>
          <w:p>
            <w:pPr>
              <w:spacing w:after="0" w:line="240" w:lineRule="auto"/>
            </w:pPr>
            <w:r>
              <w:rPr>
                <w:color w:val="17324D"/>
                <w:sz w:val="16"/>
              </w:rPr>
              <w:t>Dolor operativo</w:t>
            </w:r>
          </w:p>
        </w:tc>
        <w:tc>
          <w:tcPr>
            <w:tcW w:type="dxa" w:w="3960"/>
            <w:shd w:fill="FFFFFF"/>
            <w:vAlign w:val="center"/>
          </w:tcPr>
          <w:p>
            <w:pPr>
              <w:spacing w:after="0" w:line="240" w:lineRule="auto"/>
            </w:pPr>
            <w:r>
              <w:rPr>
                <w:color w:val="17324D"/>
                <w:sz w:val="16"/>
              </w:rPr>
              <w:t>¿Qué tarea se dificulta y qué efecto se declara?</w:t>
            </w:r>
          </w:p>
        </w:tc>
        <w:tc>
          <w:tcPr>
            <w:tcW w:type="dxa" w:w="4464"/>
            <w:shd w:fill="FFFFFF"/>
            <w:vAlign w:val="center"/>
          </w:tcPr>
          <w:p>
            <w:pPr>
              <w:spacing w:after="0" w:line="240" w:lineRule="auto"/>
            </w:pPr>
            <w:r>
              <w:rPr>
                <w:color w:val="17324D"/>
                <w:sz w:val="16"/>
              </w:rPr>
              <w:t>Que haga falta software o que el efecto esté verificado independientemente.</w:t>
            </w:r>
          </w:p>
        </w:tc>
      </w:tr>
      <w:tr>
        <w:tc>
          <w:tcPr>
            <w:tcW w:type="dxa" w:w="1800"/>
            <w:shd w:fill="F4F6F8"/>
            <w:vAlign w:val="center"/>
          </w:tcPr>
          <w:p>
            <w:pPr>
              <w:spacing w:after="0" w:line="240" w:lineRule="auto"/>
            </w:pPr>
            <w:r>
              <w:rPr>
                <w:color w:val="17324D"/>
                <w:sz w:val="16"/>
              </w:rPr>
              <w:t>Requisito técnico</w:t>
            </w:r>
          </w:p>
        </w:tc>
        <w:tc>
          <w:tcPr>
            <w:tcW w:type="dxa" w:w="3960"/>
            <w:shd w:fill="F4F6F8"/>
            <w:vAlign w:val="center"/>
          </w:tcPr>
          <w:p>
            <w:pPr>
              <w:spacing w:after="0" w:line="240" w:lineRule="auto"/>
            </w:pPr>
            <w:r>
              <w:rPr>
                <w:color w:val="17324D"/>
                <w:sz w:val="16"/>
              </w:rPr>
              <w:t>¿Qué acción, salida, intercambio o condición debería cumplir una solución?</w:t>
            </w:r>
          </w:p>
        </w:tc>
        <w:tc>
          <w:tcPr>
            <w:tcW w:type="dxa" w:w="4464"/>
            <w:shd w:fill="F4F6F8"/>
            <w:vAlign w:val="center"/>
          </w:tcPr>
          <w:p>
            <w:pPr>
              <w:spacing w:after="0" w:line="240" w:lineRule="auto"/>
            </w:pPr>
            <w:r>
              <w:rPr>
                <w:color w:val="17324D"/>
                <w:sz w:val="16"/>
              </w:rPr>
              <w:t>Que se haya definido arquitectura o que exista producto adecuado.</w:t>
            </w:r>
          </w:p>
        </w:tc>
      </w:tr>
      <w:tr>
        <w:tc>
          <w:tcPr>
            <w:tcW w:type="dxa" w:w="1800"/>
            <w:shd w:fill="FFFFFF"/>
            <w:vAlign w:val="center"/>
          </w:tcPr>
          <w:p>
            <w:pPr>
              <w:spacing w:after="0" w:line="240" w:lineRule="auto"/>
            </w:pPr>
            <w:r>
              <w:rPr>
                <w:color w:val="17324D"/>
                <w:sz w:val="16"/>
              </w:rPr>
              <w:t>Barrera de implantación</w:t>
            </w:r>
          </w:p>
        </w:tc>
        <w:tc>
          <w:tcPr>
            <w:tcW w:type="dxa" w:w="3960"/>
            <w:shd w:fill="FFFFFF"/>
            <w:vAlign w:val="center"/>
          </w:tcPr>
          <w:p>
            <w:pPr>
              <w:spacing w:after="0" w:line="240" w:lineRule="auto"/>
            </w:pPr>
            <w:r>
              <w:rPr>
                <w:color w:val="17324D"/>
                <w:sz w:val="16"/>
              </w:rPr>
              <w:t>¿Qué obstáculo dificulta adoptar, cambiar o mantener una solución?</w:t>
            </w:r>
          </w:p>
        </w:tc>
        <w:tc>
          <w:tcPr>
            <w:tcW w:type="dxa" w:w="4464"/>
            <w:shd w:fill="FFFFFF"/>
            <w:vAlign w:val="center"/>
          </w:tcPr>
          <w:p>
            <w:pPr>
              <w:spacing w:after="0" w:line="240" w:lineRule="auto"/>
            </w:pPr>
            <w:r>
              <w:rPr>
                <w:color w:val="17324D"/>
                <w:sz w:val="16"/>
              </w:rPr>
              <w:t>Que la oferta sea insuficiente.</w:t>
            </w:r>
          </w:p>
        </w:tc>
      </w:tr>
      <w:tr>
        <w:tc>
          <w:tcPr>
            <w:tcW w:type="dxa" w:w="1800"/>
            <w:shd w:fill="F4F6F8"/>
            <w:vAlign w:val="center"/>
          </w:tcPr>
          <w:p>
            <w:pPr>
              <w:spacing w:after="0" w:line="240" w:lineRule="auto"/>
            </w:pPr>
            <w:r>
              <w:rPr>
                <w:color w:val="17324D"/>
                <w:sz w:val="16"/>
              </w:rPr>
              <w:t>Brecha de oferta</w:t>
            </w:r>
          </w:p>
        </w:tc>
        <w:tc>
          <w:tcPr>
            <w:tcW w:type="dxa" w:w="3960"/>
            <w:shd w:fill="F4F6F8"/>
            <w:vAlign w:val="center"/>
          </w:tcPr>
          <w:p>
            <w:pPr>
              <w:spacing w:after="0" w:line="240" w:lineRule="auto"/>
            </w:pPr>
            <w:r>
              <w:rPr>
                <w:color w:val="17324D"/>
                <w:sz w:val="16"/>
              </w:rPr>
              <w:t>¿Qué requisito indispensable no satisface una opción examinada dentro de una búsqueda delimitada?</w:t>
            </w:r>
          </w:p>
        </w:tc>
        <w:tc>
          <w:tcPr>
            <w:tcW w:type="dxa" w:w="4464"/>
            <w:shd w:fill="F4F6F8"/>
            <w:vAlign w:val="center"/>
          </w:tcPr>
          <w:p>
            <w:pPr>
              <w:spacing w:after="0" w:line="240" w:lineRule="auto"/>
            </w:pPr>
            <w:r>
              <w:rPr>
                <w:color w:val="17324D"/>
                <w:sz w:val="16"/>
              </w:rPr>
              <w:t>Que no exista solución en todo el mercado o que haya demanda suficiente.</w:t>
            </w:r>
          </w:p>
        </w:tc>
      </w:tr>
    </w:tbl>
    <w:p>
      <w:pPr>
        <w:spacing w:after="0"/>
      </w:pPr>
    </w:p>
    <w:p>
      <w:r>
        <w:t>La cadena no es automática: una queja puede acreditar dolor sin indicar solución; un requisito puede aparecer sin barrera; la insatisfacción con un producto no prueba una brecha.</w:t>
      </w:r>
    </w:p>
    <w:p>
      <w:pPr>
        <w:pStyle w:val="Heading1"/>
      </w:pPr>
      <w:r>
        <w:t>2. Unidad de análisis, corpus y selección</w:t>
      </w:r>
    </w:p>
    <w:p>
      <w:r>
        <w:t>Unidad primaria: episodio de queja, definido como una expresión atribuible a un actor sobre un proceso de trabajo y un problema situados en un periodo reconocible. Publicaciones repetidas del mismo actor sobre el mismo problema se agrupan como un episodio con varias fuentes. Si un mensaje trata procesos distintos, se crean episodios separados y enlazados. Unidad de codificación: segmento textual o transcrito que sostiene una afirmación concreta, siempre vinculado al material completo y su contexto.</w:t>
      </w:r>
    </w:p>
    <w:p>
      <w:pPr>
        <w:pStyle w:val="Heading2"/>
      </w:pPr>
      <w:r>
        <w:t>Fuentes y exclusiones</w:t>
      </w:r>
    </w:p>
    <w:p>
      <w:pPr>
        <w:pStyle w:val="ListBullet"/>
      </w:pPr>
      <w:r>
        <w:t>Admisibles: publicaciones abiertas del propio negocio o profesional, intervenciones públicas, reseñas de herramientas atribuibles al actor y citas literales identificadas en medios.</w:t>
      </w:r>
    </w:p>
    <w:p>
      <w:pPr>
        <w:pStyle w:val="ListBullet"/>
      </w:pPr>
      <w:r>
        <w:t>Excluir quejas de clientes sobre una empresa, cuentas anónimas/no atribuibles, grupos cerrados, paráfrasis periodísticas sin declaración directa, republicaciones sin contenido original y mensajes ajenos a actividad profesional.</w:t>
      </w:r>
    </w:p>
    <w:p>
      <w:pPr>
        <w:pStyle w:val="ListBullet"/>
      </w:pPr>
      <w:r>
        <w:t>Registrar URL, fecha de publicación/captura, canal, idioma, actor seudonimizado, pasaje y contexto interpretativo.</w:t>
      </w:r>
    </w:p>
    <w:p>
      <w:pPr>
        <w:pStyle w:val="Heading2"/>
      </w:pPr>
      <w:r>
        <w:t>Muestreo y suficiencia</w:t>
      </w:r>
    </w:p>
    <w:p>
      <w:r>
        <w:t>Muestreo intencional de máxima variación por sector, tamaño cuando conste, comarca, idioma, canal y proceso. Las búsquedas incluirán fricciones expresadas sin vocabulario tecnológico, además de consultas sobre herramientas, para reducir el sesgo de recuperar solo a quienes ya hablan de software.</w:t>
      </w:r>
    </w:p>
    <w:p>
      <w:r>
        <w:t>Punto de partida: ventana de 24 meses y 40–60 episodios; ampliación en tandas de 10–15 hasta cubrir la variación prevista y que nuevas tandas dejen de modificar de forma relevante códigos, relaciones o contraejemplos. Se documentará el criterio; no implica representatividad estadística. Registrar consultas, fechas, resultados y exclusiones.</w:t>
      </w:r>
    </w:p>
    <w:p>
      <w:pPr>
        <w:pStyle w:val="Heading1"/>
      </w:pPr>
      <w:r>
        <w:t>3. Elegibilidad y estados de evidencia</w:t>
      </w:r>
    </w:p>
    <w:p>
      <w:r>
        <w:t>La autoría y la actividad local se verifican antes de analizar necesidades. Casos que no superen ambos filtros quedan en el registro de exclusiones, no en el corpus analítico.</w:t>
      </w:r>
    </w:p>
    <w:tbl>
      <w:tblPr>
        <w:tblStyle w:val="TableGrid"/>
        <w:tblW w:type="auto" w:w="0"/>
        <w:jc w:val="center"/>
        <w:tblLayout w:type="fixed"/>
        <w:tblLook w:firstColumn="1" w:firstRow="1" w:lastColumn="0" w:lastRow="0" w:noHBand="0" w:noVBand="1" w:val="04A0"/>
      </w:tblPr>
      <w:tblGrid>
        <w:gridCol w:w="1224"/>
        <w:gridCol w:w="2304"/>
        <w:gridCol w:w="2160"/>
        <w:gridCol w:w="1440"/>
        <w:gridCol w:w="3096"/>
      </w:tblGrid>
      <w:tr>
        <w:tc>
          <w:tcPr>
            <w:tcW w:type="dxa" w:w="2045"/>
            <w:shd w:fill="17324D"/>
          </w:tcPr>
          <w:p>
            <w:r>
              <w:rPr>
                <w:b/>
                <w:color w:val="FFFFFF"/>
                <w:sz w:val="14"/>
              </w:rPr>
              <w:t>Filtro</w:t>
            </w:r>
          </w:p>
        </w:tc>
        <w:tc>
          <w:tcPr>
            <w:tcW w:type="dxa" w:w="2045"/>
            <w:shd w:fill="17324D"/>
          </w:tcPr>
          <w:p>
            <w:r>
              <w:rPr>
                <w:b/>
                <w:color w:val="FFFFFF"/>
                <w:sz w:val="14"/>
              </w:rPr>
              <w:t>Observado</w:t>
            </w:r>
          </w:p>
        </w:tc>
        <w:tc>
          <w:tcPr>
            <w:tcW w:type="dxa" w:w="2045"/>
            <w:shd w:fill="17324D"/>
          </w:tcPr>
          <w:p>
            <w:r>
              <w:rPr>
                <w:b/>
                <w:color w:val="FFFFFF"/>
                <w:sz w:val="14"/>
              </w:rPr>
              <w:t>Inferido</w:t>
            </w:r>
          </w:p>
        </w:tc>
        <w:tc>
          <w:tcPr>
            <w:tcW w:type="dxa" w:w="2045"/>
            <w:shd w:fill="17324D"/>
          </w:tcPr>
          <w:p>
            <w:r>
              <w:rPr>
                <w:b/>
                <w:color w:val="FFFFFF"/>
                <w:sz w:val="14"/>
              </w:rPr>
              <w:t>No consta</w:t>
            </w:r>
          </w:p>
        </w:tc>
        <w:tc>
          <w:tcPr>
            <w:tcW w:type="dxa" w:w="2045"/>
            <w:shd w:fill="17324D"/>
          </w:tcPr>
          <w:p>
            <w:r>
              <w:rPr>
                <w:b/>
                <w:color w:val="FFFFFF"/>
                <w:sz w:val="14"/>
              </w:rPr>
              <w:t>Evidencia exigida / exclusión</w:t>
            </w:r>
          </w:p>
        </w:tc>
      </w:tr>
      <w:tr>
        <w:tc>
          <w:tcPr>
            <w:tcW w:type="dxa" w:w="1224"/>
            <w:shd w:fill="FFFFFF"/>
            <w:vAlign w:val="center"/>
          </w:tcPr>
          <w:p>
            <w:pPr>
              <w:spacing w:after="0" w:line="240" w:lineRule="auto"/>
            </w:pPr>
            <w:r>
              <w:rPr>
                <w:color w:val="17324D"/>
                <w:sz w:val="14"/>
              </w:rPr>
              <w:t>V1. Actor y autoría</w:t>
            </w:r>
          </w:p>
        </w:tc>
        <w:tc>
          <w:tcPr>
            <w:tcW w:type="dxa" w:w="2304"/>
            <w:shd w:fill="FFFFFF"/>
            <w:vAlign w:val="center"/>
          </w:tcPr>
          <w:p>
            <w:pPr>
              <w:spacing w:after="0" w:line="240" w:lineRule="auto"/>
            </w:pPr>
            <w:r>
              <w:rPr>
                <w:color w:val="17324D"/>
                <w:sz w:val="14"/>
              </w:rPr>
              <w:t>Declaración atribuible a empresa o profesional que se identifica como autónomo y habla de su trabajo.</w:t>
            </w:r>
          </w:p>
        </w:tc>
        <w:tc>
          <w:tcPr>
            <w:tcW w:type="dxa" w:w="2160"/>
            <w:shd w:fill="FFFFFF"/>
            <w:vAlign w:val="center"/>
          </w:tcPr>
          <w:p>
            <w:pPr>
              <w:spacing w:after="0" w:line="240" w:lineRule="auto"/>
            </w:pPr>
            <w:r>
              <w:rPr>
                <w:color w:val="17324D"/>
                <w:sz w:val="14"/>
              </w:rPr>
              <w:t>Perfil parece empresarial, identidad/condición no corroborada.</w:t>
            </w:r>
          </w:p>
        </w:tc>
        <w:tc>
          <w:tcPr>
            <w:tcW w:type="dxa" w:w="1440"/>
            <w:shd w:fill="FFFFFF"/>
            <w:vAlign w:val="center"/>
          </w:tcPr>
          <w:p>
            <w:pPr>
              <w:spacing w:after="0" w:line="240" w:lineRule="auto"/>
            </w:pPr>
            <w:r>
              <w:rPr>
                <w:color w:val="17324D"/>
                <w:sz w:val="14"/>
              </w:rPr>
              <w:t>No puede atribuirse la voz.</w:t>
            </w:r>
          </w:p>
        </w:tc>
        <w:tc>
          <w:tcPr>
            <w:tcW w:type="dxa" w:w="3096"/>
            <w:shd w:fill="FFFFFF"/>
            <w:vAlign w:val="center"/>
          </w:tcPr>
          <w:p>
            <w:pPr>
              <w:spacing w:after="0" w:line="240" w:lineRule="auto"/>
            </w:pPr>
            <w:r>
              <w:rPr>
                <w:color w:val="17324D"/>
                <w:sz w:val="14"/>
              </w:rPr>
              <w:t>Conservar publicación, fecha, perfil y vínculo público con actividad. Solo entra observado; no inferir autonomía por tamaño.</w:t>
            </w:r>
          </w:p>
        </w:tc>
      </w:tr>
      <w:tr>
        <w:tc>
          <w:tcPr>
            <w:tcW w:type="dxa" w:w="1224"/>
            <w:shd w:fill="F4F6F8"/>
            <w:vAlign w:val="center"/>
          </w:tcPr>
          <w:p>
            <w:pPr>
              <w:spacing w:after="0" w:line="240" w:lineRule="auto"/>
            </w:pPr>
            <w:r>
              <w:rPr>
                <w:color w:val="17324D"/>
                <w:sz w:val="14"/>
              </w:rPr>
              <w:t>V2. Actividad en Bizkaia</w:t>
            </w:r>
          </w:p>
        </w:tc>
        <w:tc>
          <w:tcPr>
            <w:tcW w:type="dxa" w:w="2304"/>
            <w:shd w:fill="F4F6F8"/>
            <w:vAlign w:val="center"/>
          </w:tcPr>
          <w:p>
            <w:pPr>
              <w:spacing w:after="0" w:line="240" w:lineRule="auto"/>
            </w:pPr>
            <w:r>
              <w:rPr>
                <w:color w:val="17324D"/>
                <w:sz w:val="14"/>
              </w:rPr>
              <w:t>Dos indicios públicos independientes acreditan presencia operativa y actividad reciente local.</w:t>
            </w:r>
          </w:p>
        </w:tc>
        <w:tc>
          <w:tcPr>
            <w:tcW w:type="dxa" w:w="2160"/>
            <w:shd w:fill="F4F6F8"/>
            <w:vAlign w:val="center"/>
          </w:tcPr>
          <w:p>
            <w:pPr>
              <w:spacing w:after="0" w:line="240" w:lineRule="auto"/>
            </w:pPr>
            <w:r>
              <w:rPr>
                <w:color w:val="17324D"/>
                <w:sz w:val="14"/>
              </w:rPr>
              <w:t>Solo domicilio declarado, indicio antiguo o fuente no corroborada.</w:t>
            </w:r>
          </w:p>
        </w:tc>
        <w:tc>
          <w:tcPr>
            <w:tcW w:type="dxa" w:w="1440"/>
            <w:shd w:fill="F4F6F8"/>
            <w:vAlign w:val="center"/>
          </w:tcPr>
          <w:p>
            <w:pPr>
              <w:spacing w:after="0" w:line="240" w:lineRule="auto"/>
            </w:pPr>
            <w:r>
              <w:rPr>
                <w:color w:val="17324D"/>
                <w:sz w:val="14"/>
              </w:rPr>
              <w:t>Sin rastro local suficiente.</w:t>
            </w:r>
          </w:p>
        </w:tc>
        <w:tc>
          <w:tcPr>
            <w:tcW w:type="dxa" w:w="3096"/>
            <w:shd w:fill="F4F6F8"/>
            <w:vAlign w:val="center"/>
          </w:tcPr>
          <w:p>
            <w:pPr>
              <w:spacing w:after="0" w:line="240" w:lineRule="auto"/>
            </w:pPr>
            <w:r>
              <w:rPr>
                <w:color w:val="17324D"/>
                <w:sz w:val="14"/>
              </w:rPr>
              <w:t>Guardar dos indicios y fechas (p. ej., ubicación operativa y prestación/obra local). Solo entra observado; domicilio fiscal aislado no basta.</w:t>
            </w:r>
          </w:p>
        </w:tc>
      </w:tr>
    </w:tbl>
    <w:p>
      <w:pPr>
        <w:spacing w:after="0"/>
      </w:pPr>
    </w:p>
    <w:tbl>
      <w:tblPr>
        <w:tblStyle w:val="TableGrid"/>
        <w:tblW w:type="auto" w:w="0"/>
        <w:jc w:val="center"/>
        <w:tblLayout w:type="fixed"/>
        <w:tblLook w:firstColumn="1" w:firstRow="1" w:lastColumn="0" w:lastRow="0" w:noHBand="0" w:noVBand="1" w:val="04A0"/>
      </w:tblPr>
      <w:tblGrid>
        <w:gridCol w:w="1656"/>
        <w:gridCol w:w="8640"/>
      </w:tblGrid>
      <w:tr>
        <w:tc>
          <w:tcPr>
            <w:tcW w:type="dxa" w:w="5112"/>
            <w:shd w:fill="17324D"/>
          </w:tcPr>
          <w:p>
            <w:r>
              <w:rPr>
                <w:b/>
                <w:color w:val="FFFFFF"/>
                <w:sz w:val="16"/>
              </w:rPr>
              <w:t>Estado</w:t>
            </w:r>
          </w:p>
        </w:tc>
        <w:tc>
          <w:tcPr>
            <w:tcW w:type="dxa" w:w="5112"/>
            <w:shd w:fill="17324D"/>
          </w:tcPr>
          <w:p>
            <w:r>
              <w:rPr>
                <w:b/>
                <w:color w:val="FFFFFF"/>
                <w:sz w:val="16"/>
              </w:rPr>
              <w:t>Regla</w:t>
            </w:r>
          </w:p>
        </w:tc>
      </w:tr>
      <w:tr>
        <w:tc>
          <w:tcPr>
            <w:tcW w:type="dxa" w:w="1656"/>
            <w:shd w:fill="FFFFFF"/>
            <w:vAlign w:val="center"/>
          </w:tcPr>
          <w:p>
            <w:pPr>
              <w:spacing w:after="0" w:line="240" w:lineRule="auto"/>
            </w:pPr>
            <w:r>
              <w:rPr>
                <w:color w:val="17324D"/>
                <w:sz w:val="16"/>
              </w:rPr>
              <w:t>Observado</w:t>
            </w:r>
          </w:p>
        </w:tc>
        <w:tc>
          <w:tcPr>
            <w:tcW w:type="dxa" w:w="8640"/>
            <w:shd w:fill="FFFFFF"/>
            <w:vAlign w:val="center"/>
          </w:tcPr>
          <w:p>
            <w:pPr>
              <w:spacing w:after="0" w:line="240" w:lineRule="auto"/>
            </w:pPr>
            <w:r>
              <w:rPr>
                <w:color w:val="17324D"/>
                <w:sz w:val="16"/>
              </w:rPr>
              <w:t>Declaración directa o documentación pública identificable. Acredita lo expresado/documentado, no su verdad objetiva.</w:t>
            </w:r>
          </w:p>
        </w:tc>
      </w:tr>
      <w:tr>
        <w:tc>
          <w:tcPr>
            <w:tcW w:type="dxa" w:w="1656"/>
            <w:shd w:fill="F4F6F8"/>
            <w:vAlign w:val="center"/>
          </w:tcPr>
          <w:p>
            <w:pPr>
              <w:spacing w:after="0" w:line="240" w:lineRule="auto"/>
            </w:pPr>
            <w:r>
              <w:rPr>
                <w:color w:val="17324D"/>
                <w:sz w:val="16"/>
              </w:rPr>
              <w:t>Inferido</w:t>
            </w:r>
          </w:p>
        </w:tc>
        <w:tc>
          <w:tcPr>
            <w:tcW w:type="dxa" w:w="8640"/>
            <w:shd w:fill="F4F6F8"/>
            <w:vAlign w:val="center"/>
          </w:tcPr>
          <w:p>
            <w:pPr>
              <w:spacing w:after="0" w:line="240" w:lineRule="auto"/>
            </w:pPr>
            <w:r>
              <w:rPr>
                <w:color w:val="17324D"/>
                <w:sz w:val="16"/>
              </w:rPr>
              <w:t>Conclusión trazable con al menos dos indicios convergentes; anotar inferencia y explicación rival.</w:t>
            </w:r>
          </w:p>
        </w:tc>
      </w:tr>
      <w:tr>
        <w:tc>
          <w:tcPr>
            <w:tcW w:type="dxa" w:w="1656"/>
            <w:shd w:fill="FFFFFF"/>
            <w:vAlign w:val="center"/>
          </w:tcPr>
          <w:p>
            <w:pPr>
              <w:spacing w:after="0" w:line="240" w:lineRule="auto"/>
            </w:pPr>
            <w:r>
              <w:rPr>
                <w:color w:val="17324D"/>
                <w:sz w:val="16"/>
              </w:rPr>
              <w:t>No consta</w:t>
            </w:r>
          </w:p>
        </w:tc>
        <w:tc>
          <w:tcPr>
            <w:tcW w:type="dxa" w:w="8640"/>
            <w:shd w:fill="FFFFFF"/>
            <w:vAlign w:val="center"/>
          </w:tcPr>
          <w:p>
            <w:pPr>
              <w:spacing w:after="0" w:line="240" w:lineRule="auto"/>
            </w:pPr>
            <w:r>
              <w:rPr>
                <w:color w:val="17324D"/>
                <w:sz w:val="16"/>
              </w:rPr>
              <w:t>Evidencia insuficiente. No equivale a negación, inexistencia o ausencia.</w:t>
            </w:r>
          </w:p>
        </w:tc>
      </w:tr>
    </w:tbl>
    <w:p>
      <w:pPr>
        <w:spacing w:after="0"/>
      </w:pPr>
    </w:p>
    <w:p>
      <w:r>
        <w:t>Registrar además polaridad independiente: afirma, niega o ambivalente. Preservar contradicciones, rectificaciones y cambios temporales.</w:t>
      </w:r>
    </w:p>
    <w:p>
      <w:pPr>
        <w:pStyle w:val="Heading1"/>
      </w:pPr>
      <w:r>
        <w:t>4. Libro de códigos: contenido y relación con software</w:t>
      </w:r>
    </w:p>
    <w:p>
      <w:r>
        <w:t>Cada registro incluye pasaje, URL, fecha, actor seudonimizado, estado, polaridad y justificación. Las evidencias y exclusiones de las matrices son umbrales mínimos para cada ítem.</w:t>
      </w:r>
    </w:p>
    <w:p>
      <w:pPr>
        <w:pStyle w:val="Heading2"/>
      </w:pPr>
      <w:r>
        <w:t>A. Dolor operativo</w:t>
      </w:r>
    </w:p>
    <w:tbl>
      <w:tblPr>
        <w:tblStyle w:val="TableGrid"/>
        <w:tblW w:type="auto" w:w="0"/>
        <w:jc w:val="center"/>
        <w:tblLayout w:type="fixed"/>
        <w:tblLook w:firstColumn="1" w:firstRow="1" w:lastColumn="0" w:lastRow="0" w:noHBand="0" w:noVBand="1" w:val="04A0"/>
      </w:tblPr>
      <w:tblGrid>
        <w:gridCol w:w="1181"/>
        <w:gridCol w:w="2016"/>
        <w:gridCol w:w="2045"/>
        <w:gridCol w:w="1224"/>
        <w:gridCol w:w="1872"/>
        <w:gridCol w:w="2045"/>
      </w:tblGrid>
      <w:tr>
        <w:tc>
          <w:tcPr>
            <w:tcW w:type="dxa" w:w="1704"/>
            <w:shd w:fill="17324D"/>
          </w:tcPr>
          <w:p>
            <w:r>
              <w:rPr>
                <w:b/>
                <w:color w:val="FFFFFF"/>
                <w:sz w:val="13"/>
              </w:rPr>
              <w:t>Ítem</w:t>
            </w:r>
          </w:p>
        </w:tc>
        <w:tc>
          <w:tcPr>
            <w:tcW w:type="dxa" w:w="1704"/>
            <w:shd w:fill="17324D"/>
          </w:tcPr>
          <w:p>
            <w:r>
              <w:rPr>
                <w:b/>
                <w:color w:val="FFFFFF"/>
                <w:sz w:val="13"/>
              </w:rPr>
              <w:t>Observado</w:t>
            </w:r>
          </w:p>
        </w:tc>
        <w:tc>
          <w:tcPr>
            <w:tcW w:type="dxa" w:w="1704"/>
            <w:shd w:fill="17324D"/>
          </w:tcPr>
          <w:p>
            <w:r>
              <w:rPr>
                <w:b/>
                <w:color w:val="FFFFFF"/>
                <w:sz w:val="13"/>
              </w:rPr>
              <w:t>Inferido</w:t>
            </w:r>
          </w:p>
        </w:tc>
        <w:tc>
          <w:tcPr>
            <w:tcW w:type="dxa" w:w="1704"/>
            <w:shd w:fill="17324D"/>
          </w:tcPr>
          <w:p>
            <w:r>
              <w:rPr>
                <w:b/>
                <w:color w:val="FFFFFF"/>
                <w:sz w:val="13"/>
              </w:rPr>
              <w:t>No consta</w:t>
            </w:r>
          </w:p>
        </w:tc>
        <w:tc>
          <w:tcPr>
            <w:tcW w:type="dxa" w:w="1704"/>
            <w:shd w:fill="17324D"/>
          </w:tcPr>
          <w:p>
            <w:r>
              <w:rPr>
                <w:b/>
                <w:color w:val="FFFFFF"/>
                <w:sz w:val="13"/>
              </w:rPr>
              <w:t>Evidencia exigida</w:t>
            </w:r>
          </w:p>
        </w:tc>
        <w:tc>
          <w:tcPr>
            <w:tcW w:type="dxa" w:w="1704"/>
            <w:shd w:fill="17324D"/>
          </w:tcPr>
          <w:p>
            <w:r>
              <w:rPr>
                <w:b/>
                <w:color w:val="FFFFFF"/>
                <w:sz w:val="13"/>
              </w:rPr>
              <w:t>Excluir</w:t>
            </w:r>
          </w:p>
        </w:tc>
      </w:tr>
      <w:tr>
        <w:tc>
          <w:tcPr>
            <w:tcW w:type="dxa" w:w="1181"/>
            <w:shd w:fill="FFFFFF"/>
            <w:vAlign w:val="center"/>
          </w:tcPr>
          <w:p>
            <w:pPr>
              <w:spacing w:after="0" w:line="240" w:lineRule="auto"/>
            </w:pPr>
            <w:r>
              <w:rPr>
                <w:color w:val="17324D"/>
                <w:sz w:val="13"/>
              </w:rPr>
              <w:t>D1 Fricción</w:t>
            </w:r>
          </w:p>
        </w:tc>
        <w:tc>
          <w:tcPr>
            <w:tcW w:type="dxa" w:w="2016"/>
            <w:shd w:fill="FFFFFF"/>
            <w:vAlign w:val="center"/>
          </w:tcPr>
          <w:p>
            <w:pPr>
              <w:spacing w:after="0" w:line="240" w:lineRule="auto"/>
            </w:pPr>
            <w:r>
              <w:rPr>
                <w:color w:val="17324D"/>
                <w:sz w:val="13"/>
              </w:rPr>
              <w:t>Nombra tarea y retraso, error, duplicación o bloqueo.</w:t>
            </w:r>
          </w:p>
        </w:tc>
        <w:tc>
          <w:tcPr>
            <w:tcW w:type="dxa" w:w="2045"/>
            <w:shd w:fill="FFFFFF"/>
            <w:vAlign w:val="center"/>
          </w:tcPr>
          <w:p>
            <w:pPr>
              <w:spacing w:after="0" w:line="240" w:lineRule="auto"/>
            </w:pPr>
            <w:r>
              <w:rPr>
                <w:color w:val="17324D"/>
                <w:sz w:val="13"/>
              </w:rPr>
              <w:t>Dos indicios sitúan fricción en tarea identificable.</w:t>
            </w:r>
          </w:p>
        </w:tc>
        <w:tc>
          <w:tcPr>
            <w:tcW w:type="dxa" w:w="1224"/>
            <w:shd w:fill="FFFFFF"/>
            <w:vAlign w:val="center"/>
          </w:tcPr>
          <w:p>
            <w:pPr>
              <w:spacing w:after="0" w:line="240" w:lineRule="auto"/>
            </w:pPr>
            <w:r>
              <w:rPr>
                <w:color w:val="17324D"/>
                <w:sz w:val="13"/>
              </w:rPr>
              <w:t>Sin tarea o fricción.</w:t>
            </w:r>
          </w:p>
        </w:tc>
        <w:tc>
          <w:tcPr>
            <w:tcW w:type="dxa" w:w="1872"/>
            <w:shd w:fill="FFFFFF"/>
            <w:vAlign w:val="center"/>
          </w:tcPr>
          <w:p>
            <w:pPr>
              <w:spacing w:after="0" w:line="240" w:lineRule="auto"/>
            </w:pPr>
            <w:r>
              <w:rPr>
                <w:color w:val="17324D"/>
                <w:sz w:val="13"/>
              </w:rPr>
              <w:t>Pasaje y proceso concreto.</w:t>
            </w:r>
          </w:p>
        </w:tc>
        <w:tc>
          <w:tcPr>
            <w:tcW w:type="dxa" w:w="2045"/>
            <w:shd w:fill="FFFFFF"/>
            <w:vAlign w:val="center"/>
          </w:tcPr>
          <w:p>
            <w:pPr>
              <w:spacing w:after="0" w:line="240" w:lineRule="auto"/>
            </w:pPr>
            <w:r>
              <w:rPr>
                <w:color w:val="17324D"/>
                <w:sz w:val="13"/>
              </w:rPr>
              <w:t>Malestar general, tercero, incidente ajeno al trabajo.</w:t>
            </w:r>
          </w:p>
        </w:tc>
      </w:tr>
      <w:tr>
        <w:tc>
          <w:tcPr>
            <w:tcW w:type="dxa" w:w="1181"/>
            <w:shd w:fill="F4F6F8"/>
            <w:vAlign w:val="center"/>
          </w:tcPr>
          <w:p>
            <w:pPr>
              <w:spacing w:after="0" w:line="240" w:lineRule="auto"/>
            </w:pPr>
            <w:r>
              <w:rPr>
                <w:color w:val="17324D"/>
                <w:sz w:val="13"/>
              </w:rPr>
              <w:t>D2 Consecuencia</w:t>
            </w:r>
          </w:p>
        </w:tc>
        <w:tc>
          <w:tcPr>
            <w:tcW w:type="dxa" w:w="2016"/>
            <w:shd w:fill="F4F6F8"/>
            <w:vAlign w:val="center"/>
          </w:tcPr>
          <w:p>
            <w:pPr>
              <w:spacing w:after="0" w:line="240" w:lineRule="auto"/>
            </w:pPr>
            <w:r>
              <w:rPr>
                <w:color w:val="17324D"/>
                <w:sz w:val="13"/>
              </w:rPr>
              <w:t>Declara tiempo, coste, pérdida, error o efecto en clientes.</w:t>
            </w:r>
          </w:p>
        </w:tc>
        <w:tc>
          <w:tcPr>
            <w:tcW w:type="dxa" w:w="2045"/>
            <w:shd w:fill="F4F6F8"/>
            <w:vAlign w:val="center"/>
          </w:tcPr>
          <w:p>
            <w:pPr>
              <w:spacing w:after="0" w:line="240" w:lineRule="auto"/>
            </w:pPr>
            <w:r>
              <w:rPr>
                <w:color w:val="17324D"/>
                <w:sz w:val="13"/>
              </w:rPr>
              <w:t>Dos indicios conectan efecto concreto con D1.</w:t>
            </w:r>
          </w:p>
        </w:tc>
        <w:tc>
          <w:tcPr>
            <w:tcW w:type="dxa" w:w="1224"/>
            <w:shd w:fill="F4F6F8"/>
            <w:vAlign w:val="center"/>
          </w:tcPr>
          <w:p>
            <w:pPr>
              <w:spacing w:after="0" w:line="240" w:lineRule="auto"/>
            </w:pPr>
            <w:r>
              <w:rPr>
                <w:color w:val="17324D"/>
                <w:sz w:val="13"/>
              </w:rPr>
              <w:t>Sin efecto descrito.</w:t>
            </w:r>
          </w:p>
        </w:tc>
        <w:tc>
          <w:tcPr>
            <w:tcW w:type="dxa" w:w="1872"/>
            <w:shd w:fill="F4F6F8"/>
            <w:vAlign w:val="center"/>
          </w:tcPr>
          <w:p>
            <w:pPr>
              <w:spacing w:after="0" w:line="240" w:lineRule="auto"/>
            </w:pPr>
            <w:r>
              <w:rPr>
                <w:color w:val="17324D"/>
                <w:sz w:val="13"/>
              </w:rPr>
              <w:t>Pasaje, evento/cifra y vínculo con tarea.</w:t>
            </w:r>
          </w:p>
        </w:tc>
        <w:tc>
          <w:tcPr>
            <w:tcW w:type="dxa" w:w="2045"/>
            <w:shd w:fill="F4F6F8"/>
            <w:vAlign w:val="center"/>
          </w:tcPr>
          <w:p>
            <w:pPr>
              <w:spacing w:after="0" w:line="240" w:lineRule="auto"/>
            </w:pPr>
            <w:r>
              <w:rPr>
                <w:color w:val="17324D"/>
                <w:sz w:val="13"/>
              </w:rPr>
              <w:t>Monetización del investigador; promedios sectoriales.</w:t>
            </w:r>
          </w:p>
        </w:tc>
      </w:tr>
      <w:tr>
        <w:tc>
          <w:tcPr>
            <w:tcW w:type="dxa" w:w="1181"/>
            <w:shd w:fill="FFFFFF"/>
            <w:vAlign w:val="center"/>
          </w:tcPr>
          <w:p>
            <w:pPr>
              <w:spacing w:after="0" w:line="240" w:lineRule="auto"/>
            </w:pPr>
            <w:r>
              <w:rPr>
                <w:color w:val="17324D"/>
                <w:sz w:val="13"/>
              </w:rPr>
              <w:t>D3 Persistencia</w:t>
            </w:r>
          </w:p>
        </w:tc>
        <w:tc>
          <w:tcPr>
            <w:tcW w:type="dxa" w:w="2016"/>
            <w:shd w:fill="FFFFFF"/>
            <w:vAlign w:val="center"/>
          </w:tcPr>
          <w:p>
            <w:pPr>
              <w:spacing w:after="0" w:line="240" w:lineRule="auto"/>
            </w:pPr>
            <w:r>
              <w:rPr>
                <w:color w:val="17324D"/>
                <w:sz w:val="13"/>
              </w:rPr>
              <w:t>Indica frecuencia o repetición.</w:t>
            </w:r>
          </w:p>
        </w:tc>
        <w:tc>
          <w:tcPr>
            <w:tcW w:type="dxa" w:w="2045"/>
            <w:shd w:fill="FFFFFF"/>
            <w:vAlign w:val="center"/>
          </w:tcPr>
          <w:p>
            <w:pPr>
              <w:spacing w:after="0" w:line="240" w:lineRule="auto"/>
            </w:pPr>
            <w:r>
              <w:rPr>
                <w:color w:val="17324D"/>
                <w:sz w:val="13"/>
              </w:rPr>
              <w:t>Dos episodios independientes, fechados, mismo proceso.</w:t>
            </w:r>
          </w:p>
        </w:tc>
        <w:tc>
          <w:tcPr>
            <w:tcW w:type="dxa" w:w="1224"/>
            <w:shd w:fill="FFFFFF"/>
            <w:vAlign w:val="center"/>
          </w:tcPr>
          <w:p>
            <w:pPr>
              <w:spacing w:after="0" w:line="240" w:lineRule="auto"/>
            </w:pPr>
            <w:r>
              <w:rPr>
                <w:color w:val="17324D"/>
                <w:sz w:val="13"/>
              </w:rPr>
              <w:t>Un episodio o sin fecha.</w:t>
            </w:r>
          </w:p>
        </w:tc>
        <w:tc>
          <w:tcPr>
            <w:tcW w:type="dxa" w:w="1872"/>
            <w:shd w:fill="FFFFFF"/>
            <w:vAlign w:val="center"/>
          </w:tcPr>
          <w:p>
            <w:pPr>
              <w:spacing w:after="0" w:line="240" w:lineRule="auto"/>
            </w:pPr>
            <w:r>
              <w:rPr>
                <w:color w:val="17324D"/>
                <w:sz w:val="13"/>
              </w:rPr>
              <w:t>Expresión temporal o publicaciones originales.</w:t>
            </w:r>
          </w:p>
        </w:tc>
        <w:tc>
          <w:tcPr>
            <w:tcW w:type="dxa" w:w="2045"/>
            <w:shd w:fill="FFFFFF"/>
            <w:vAlign w:val="center"/>
          </w:tcPr>
          <w:p>
            <w:pPr>
              <w:spacing w:after="0" w:line="240" w:lineRule="auto"/>
            </w:pPr>
            <w:r>
              <w:rPr>
                <w:color w:val="17324D"/>
                <w:sz w:val="13"/>
              </w:rPr>
              <w:t>Ecos/republicaciones de un incidente.</w:t>
            </w:r>
          </w:p>
        </w:tc>
      </w:tr>
      <w:tr>
        <w:tc>
          <w:tcPr>
            <w:tcW w:type="dxa" w:w="1181"/>
            <w:shd w:fill="F4F6F8"/>
            <w:vAlign w:val="center"/>
          </w:tcPr>
          <w:p>
            <w:pPr>
              <w:spacing w:after="0" w:line="240" w:lineRule="auto"/>
            </w:pPr>
            <w:r>
              <w:rPr>
                <w:color w:val="17324D"/>
                <w:sz w:val="13"/>
              </w:rPr>
              <w:t>D4 Apaño</w:t>
            </w:r>
          </w:p>
        </w:tc>
        <w:tc>
          <w:tcPr>
            <w:tcW w:type="dxa" w:w="2016"/>
            <w:shd w:fill="F4F6F8"/>
            <w:vAlign w:val="center"/>
          </w:tcPr>
          <w:p>
            <w:pPr>
              <w:spacing w:after="0" w:line="240" w:lineRule="auto"/>
            </w:pPr>
            <w:r>
              <w:rPr>
                <w:color w:val="17324D"/>
                <w:sz w:val="13"/>
              </w:rPr>
              <w:t>Describe papel, hojas, correos, reentrada de datos o persona puente.</w:t>
            </w:r>
          </w:p>
        </w:tc>
        <w:tc>
          <w:tcPr>
            <w:tcW w:type="dxa" w:w="2045"/>
            <w:shd w:fill="F4F6F8"/>
            <w:vAlign w:val="center"/>
          </w:tcPr>
          <w:p>
            <w:pPr>
              <w:spacing w:after="0" w:line="240" w:lineRule="auto"/>
            </w:pPr>
            <w:r>
              <w:rPr>
                <w:color w:val="17324D"/>
                <w:sz w:val="13"/>
              </w:rPr>
              <w:t>Dos pasos reconstruyen el apaño.</w:t>
            </w:r>
          </w:p>
        </w:tc>
        <w:tc>
          <w:tcPr>
            <w:tcW w:type="dxa" w:w="1224"/>
            <w:shd w:fill="F4F6F8"/>
            <w:vAlign w:val="center"/>
          </w:tcPr>
          <w:p>
            <w:pPr>
              <w:spacing w:after="0" w:line="240" w:lineRule="auto"/>
            </w:pPr>
            <w:r>
              <w:rPr>
                <w:color w:val="17324D"/>
                <w:sz w:val="13"/>
              </w:rPr>
              <w:t>Procedimiento actual desconocido.</w:t>
            </w:r>
          </w:p>
        </w:tc>
        <w:tc>
          <w:tcPr>
            <w:tcW w:type="dxa" w:w="1872"/>
            <w:shd w:fill="F4F6F8"/>
            <w:vAlign w:val="center"/>
          </w:tcPr>
          <w:p>
            <w:pPr>
              <w:spacing w:after="0" w:line="240" w:lineRule="auto"/>
            </w:pPr>
            <w:r>
              <w:rPr>
                <w:color w:val="17324D"/>
                <w:sz w:val="13"/>
              </w:rPr>
              <w:t>Pasos o artefacto público.</w:t>
            </w:r>
          </w:p>
        </w:tc>
        <w:tc>
          <w:tcPr>
            <w:tcW w:type="dxa" w:w="2045"/>
            <w:shd w:fill="F4F6F8"/>
            <w:vAlign w:val="center"/>
          </w:tcPr>
          <w:p>
            <w:pPr>
              <w:spacing w:after="0" w:line="240" w:lineRule="auto"/>
            </w:pPr>
            <w:r>
              <w:rPr>
                <w:color w:val="17324D"/>
                <w:sz w:val="13"/>
              </w:rPr>
              <w:t>Suponer que manual equivale a problemático.</w:t>
            </w:r>
          </w:p>
        </w:tc>
      </w:tr>
    </w:tbl>
    <w:p>
      <w:pPr>
        <w:spacing w:after="0"/>
      </w:pPr>
    </w:p>
    <w:p>
      <w:pPr>
        <w:pStyle w:val="Heading2"/>
      </w:pPr>
      <w:r>
        <w:t>B. Nexo digital y requisitos</w:t>
      </w:r>
    </w:p>
    <w:tbl>
      <w:tblPr>
        <w:tblStyle w:val="TableGrid"/>
        <w:tblW w:type="auto" w:w="0"/>
        <w:jc w:val="center"/>
        <w:tblLayout w:type="fixed"/>
        <w:tblLook w:firstColumn="1" w:firstRow="1" w:lastColumn="0" w:lastRow="0" w:noHBand="0" w:noVBand="1" w:val="04A0"/>
      </w:tblPr>
      <w:tblGrid>
        <w:gridCol w:w="1181"/>
        <w:gridCol w:w="2016"/>
        <w:gridCol w:w="2045"/>
        <w:gridCol w:w="1224"/>
        <w:gridCol w:w="1872"/>
        <w:gridCol w:w="2045"/>
      </w:tblGrid>
      <w:tr>
        <w:tc>
          <w:tcPr>
            <w:tcW w:type="dxa" w:w="1704"/>
            <w:shd w:fill="17324D"/>
          </w:tcPr>
          <w:p>
            <w:r>
              <w:rPr>
                <w:b/>
                <w:color w:val="FFFFFF"/>
                <w:sz w:val="13"/>
              </w:rPr>
              <w:t>Ítem</w:t>
            </w:r>
          </w:p>
        </w:tc>
        <w:tc>
          <w:tcPr>
            <w:tcW w:type="dxa" w:w="1704"/>
            <w:shd w:fill="17324D"/>
          </w:tcPr>
          <w:p>
            <w:r>
              <w:rPr>
                <w:b/>
                <w:color w:val="FFFFFF"/>
                <w:sz w:val="13"/>
              </w:rPr>
              <w:t>Observado</w:t>
            </w:r>
          </w:p>
        </w:tc>
        <w:tc>
          <w:tcPr>
            <w:tcW w:type="dxa" w:w="1704"/>
            <w:shd w:fill="17324D"/>
          </w:tcPr>
          <w:p>
            <w:r>
              <w:rPr>
                <w:b/>
                <w:color w:val="FFFFFF"/>
                <w:sz w:val="13"/>
              </w:rPr>
              <w:t>Inferido</w:t>
            </w:r>
          </w:p>
        </w:tc>
        <w:tc>
          <w:tcPr>
            <w:tcW w:type="dxa" w:w="1704"/>
            <w:shd w:fill="17324D"/>
          </w:tcPr>
          <w:p>
            <w:r>
              <w:rPr>
                <w:b/>
                <w:color w:val="FFFFFF"/>
                <w:sz w:val="13"/>
              </w:rPr>
              <w:t>No consta</w:t>
            </w:r>
          </w:p>
        </w:tc>
        <w:tc>
          <w:tcPr>
            <w:tcW w:type="dxa" w:w="1704"/>
            <w:shd w:fill="17324D"/>
          </w:tcPr>
          <w:p>
            <w:r>
              <w:rPr>
                <w:b/>
                <w:color w:val="FFFFFF"/>
                <w:sz w:val="13"/>
              </w:rPr>
              <w:t>Evidencia exigida</w:t>
            </w:r>
          </w:p>
        </w:tc>
        <w:tc>
          <w:tcPr>
            <w:tcW w:type="dxa" w:w="1704"/>
            <w:shd w:fill="17324D"/>
          </w:tcPr>
          <w:p>
            <w:r>
              <w:rPr>
                <w:b/>
                <w:color w:val="FFFFFF"/>
                <w:sz w:val="13"/>
              </w:rPr>
              <w:t>Excluir</w:t>
            </w:r>
          </w:p>
        </w:tc>
      </w:tr>
      <w:tr>
        <w:tc>
          <w:tcPr>
            <w:tcW w:type="dxa" w:w="1181"/>
            <w:shd w:fill="FFFFFF"/>
            <w:vAlign w:val="center"/>
          </w:tcPr>
          <w:p>
            <w:pPr>
              <w:spacing w:after="0" w:line="240" w:lineRule="auto"/>
            </w:pPr>
            <w:r>
              <w:rPr>
                <w:color w:val="17324D"/>
                <w:sz w:val="13"/>
              </w:rPr>
              <w:t>S1 Mecanismo digital</w:t>
            </w:r>
          </w:p>
        </w:tc>
        <w:tc>
          <w:tcPr>
            <w:tcW w:type="dxa" w:w="2016"/>
            <w:shd w:fill="FFFFFF"/>
            <w:vAlign w:val="center"/>
          </w:tcPr>
          <w:p>
            <w:pPr>
              <w:spacing w:after="0" w:line="240" w:lineRule="auto"/>
            </w:pPr>
            <w:r>
              <w:rPr>
                <w:color w:val="17324D"/>
                <w:sz w:val="13"/>
              </w:rPr>
              <w:t>Actor vincula función digital con fricción concreta.</w:t>
            </w:r>
          </w:p>
        </w:tc>
        <w:tc>
          <w:tcPr>
            <w:tcW w:type="dxa" w:w="2045"/>
            <w:shd w:fill="FFFFFF"/>
            <w:vAlign w:val="center"/>
          </w:tcPr>
          <w:p>
            <w:pPr>
              <w:spacing w:after="0" w:line="240" w:lineRule="auto"/>
            </w:pPr>
            <w:r>
              <w:rPr>
                <w:color w:val="17324D"/>
                <w:sz w:val="13"/>
              </w:rPr>
              <w:t>Entrada, operación y salida definibles; anotar rival no digital.</w:t>
            </w:r>
          </w:p>
        </w:tc>
        <w:tc>
          <w:tcPr>
            <w:tcW w:type="dxa" w:w="1224"/>
            <w:shd w:fill="FFFFFF"/>
            <w:vAlign w:val="center"/>
          </w:tcPr>
          <w:p>
            <w:pPr>
              <w:spacing w:after="0" w:line="240" w:lineRule="auto"/>
            </w:pPr>
            <w:r>
              <w:rPr>
                <w:color w:val="17324D"/>
                <w:sz w:val="13"/>
              </w:rPr>
              <w:t>Nexo no establecido.</w:t>
            </w:r>
          </w:p>
        </w:tc>
        <w:tc>
          <w:tcPr>
            <w:tcW w:type="dxa" w:w="1872"/>
            <w:shd w:fill="FFFFFF"/>
            <w:vAlign w:val="center"/>
          </w:tcPr>
          <w:p>
            <w:pPr>
              <w:spacing w:after="0" w:line="240" w:lineRule="auto"/>
            </w:pPr>
            <w:r>
              <w:rPr>
                <w:color w:val="17324D"/>
                <w:sz w:val="13"/>
              </w:rPr>
              <w:t>Flujo y pasaje/indicios del vínculo.</w:t>
            </w:r>
          </w:p>
        </w:tc>
        <w:tc>
          <w:tcPr>
            <w:tcW w:type="dxa" w:w="2045"/>
            <w:shd w:fill="FFFFFF"/>
            <w:vAlign w:val="center"/>
          </w:tcPr>
          <w:p>
            <w:pPr>
              <w:spacing w:after="0" w:line="240" w:lineRule="auto"/>
            </w:pPr>
            <w:r>
              <w:rPr>
                <w:color w:val="17324D"/>
                <w:sz w:val="13"/>
              </w:rPr>
              <w:t>“Necesitamos app” sin tarea; atribuir falta de personal o norma a software sin mecanismo.</w:t>
            </w:r>
          </w:p>
        </w:tc>
      </w:tr>
      <w:tr>
        <w:tc>
          <w:tcPr>
            <w:tcW w:type="dxa" w:w="1181"/>
            <w:shd w:fill="F4F6F8"/>
            <w:vAlign w:val="center"/>
          </w:tcPr>
          <w:p>
            <w:pPr>
              <w:spacing w:after="0" w:line="240" w:lineRule="auto"/>
            </w:pPr>
            <w:r>
              <w:rPr>
                <w:color w:val="17324D"/>
                <w:sz w:val="13"/>
              </w:rPr>
              <w:t>R1 Función/resultado</w:t>
            </w:r>
          </w:p>
        </w:tc>
        <w:tc>
          <w:tcPr>
            <w:tcW w:type="dxa" w:w="2016"/>
            <w:shd w:fill="F4F6F8"/>
            <w:vAlign w:val="center"/>
          </w:tcPr>
          <w:p>
            <w:pPr>
              <w:spacing w:after="0" w:line="240" w:lineRule="auto"/>
            </w:pPr>
            <w:r>
              <w:rPr>
                <w:color w:val="17324D"/>
                <w:sz w:val="13"/>
              </w:rPr>
              <w:t>Pide acción verificable y resultado.</w:t>
            </w:r>
          </w:p>
        </w:tc>
        <w:tc>
          <w:tcPr>
            <w:tcW w:type="dxa" w:w="2045"/>
            <w:shd w:fill="F4F6F8"/>
            <w:vAlign w:val="center"/>
          </w:tcPr>
          <w:p>
            <w:pPr>
              <w:spacing w:after="0" w:line="240" w:lineRule="auto"/>
            </w:pPr>
            <w:r>
              <w:rPr>
                <w:color w:val="17324D"/>
                <w:sz w:val="13"/>
              </w:rPr>
              <w:t>Entrada, acción y salida reconstruibles con dos indicios.</w:t>
            </w:r>
          </w:p>
        </w:tc>
        <w:tc>
          <w:tcPr>
            <w:tcW w:type="dxa" w:w="1224"/>
            <w:shd w:fill="F4F6F8"/>
            <w:vAlign w:val="center"/>
          </w:tcPr>
          <w:p>
            <w:pPr>
              <w:spacing w:after="0" w:line="240" w:lineRule="auto"/>
            </w:pPr>
            <w:r>
              <w:rPr>
                <w:color w:val="17324D"/>
                <w:sz w:val="13"/>
              </w:rPr>
              <w:t>Resultado indefinido.</w:t>
            </w:r>
          </w:p>
        </w:tc>
        <w:tc>
          <w:tcPr>
            <w:tcW w:type="dxa" w:w="1872"/>
            <w:shd w:fill="F4F6F8"/>
            <w:vAlign w:val="center"/>
          </w:tcPr>
          <w:p>
            <w:pPr>
              <w:spacing w:after="0" w:line="240" w:lineRule="auto"/>
            </w:pPr>
            <w:r>
              <w:rPr>
                <w:color w:val="17324D"/>
                <w:sz w:val="13"/>
              </w:rPr>
              <w:t>Acción y salida esperada.</w:t>
            </w:r>
          </w:p>
        </w:tc>
        <w:tc>
          <w:tcPr>
            <w:tcW w:type="dxa" w:w="2045"/>
            <w:shd w:fill="F4F6F8"/>
            <w:vAlign w:val="center"/>
          </w:tcPr>
          <w:p>
            <w:pPr>
              <w:spacing w:after="0" w:line="240" w:lineRule="auto"/>
            </w:pPr>
            <w:r>
              <w:rPr>
                <w:color w:val="17324D"/>
                <w:sz w:val="13"/>
              </w:rPr>
              <w:t>Nombre de app, IA o automatizar sin conducta.</w:t>
            </w:r>
          </w:p>
        </w:tc>
      </w:tr>
      <w:tr>
        <w:tc>
          <w:tcPr>
            <w:tcW w:type="dxa" w:w="1181"/>
            <w:shd w:fill="FFFFFF"/>
            <w:vAlign w:val="center"/>
          </w:tcPr>
          <w:p>
            <w:pPr>
              <w:spacing w:after="0" w:line="240" w:lineRule="auto"/>
            </w:pPr>
            <w:r>
              <w:rPr>
                <w:color w:val="17324D"/>
                <w:sz w:val="13"/>
              </w:rPr>
              <w:t>R2 Intercambio</w:t>
            </w:r>
          </w:p>
        </w:tc>
        <w:tc>
          <w:tcPr>
            <w:tcW w:type="dxa" w:w="2016"/>
            <w:shd w:fill="FFFFFF"/>
            <w:vAlign w:val="center"/>
          </w:tcPr>
          <w:p>
            <w:pPr>
              <w:spacing w:after="0" w:line="240" w:lineRule="auto"/>
            </w:pPr>
            <w:r>
              <w:rPr>
                <w:color w:val="17324D"/>
                <w:sz w:val="13"/>
              </w:rPr>
              <w:t>Identifica sistemas/canales, dato y transferencia.</w:t>
            </w:r>
          </w:p>
        </w:tc>
        <w:tc>
          <w:tcPr>
            <w:tcW w:type="dxa" w:w="2045"/>
            <w:shd w:fill="FFFFFF"/>
            <w:vAlign w:val="center"/>
          </w:tcPr>
          <w:p>
            <w:pPr>
              <w:spacing w:after="0" w:line="240" w:lineRule="auto"/>
            </w:pPr>
            <w:r>
              <w:rPr>
                <w:color w:val="17324D"/>
                <w:sz w:val="13"/>
              </w:rPr>
              <w:t>Doble entrada documentada entre sistemas identificados.</w:t>
            </w:r>
          </w:p>
        </w:tc>
        <w:tc>
          <w:tcPr>
            <w:tcW w:type="dxa" w:w="1224"/>
            <w:shd w:fill="FFFFFF"/>
            <w:vAlign w:val="center"/>
          </w:tcPr>
          <w:p>
            <w:pPr>
              <w:spacing w:after="0" w:line="240" w:lineRule="auto"/>
            </w:pPr>
            <w:r>
              <w:rPr>
                <w:color w:val="17324D"/>
                <w:sz w:val="13"/>
              </w:rPr>
              <w:t>Sistemas/flujo desconocidos.</w:t>
            </w:r>
          </w:p>
        </w:tc>
        <w:tc>
          <w:tcPr>
            <w:tcW w:type="dxa" w:w="1872"/>
            <w:shd w:fill="FFFFFF"/>
            <w:vAlign w:val="center"/>
          </w:tcPr>
          <w:p>
            <w:pPr>
              <w:spacing w:after="0" w:line="240" w:lineRule="auto"/>
            </w:pPr>
            <w:r>
              <w:rPr>
                <w:color w:val="17324D"/>
                <w:sz w:val="13"/>
              </w:rPr>
              <w:t>Origen, destino, dato y dirección.</w:t>
            </w:r>
          </w:p>
        </w:tc>
        <w:tc>
          <w:tcPr>
            <w:tcW w:type="dxa" w:w="2045"/>
            <w:shd w:fill="FFFFFF"/>
            <w:vAlign w:val="center"/>
          </w:tcPr>
          <w:p>
            <w:pPr>
              <w:spacing w:after="0" w:line="240" w:lineRule="auto"/>
            </w:pPr>
            <w:r>
              <w:rPr>
                <w:color w:val="17324D"/>
                <w:sz w:val="13"/>
              </w:rPr>
              <w:t>Prescribir API/ERP/arquitectura sin evidencia.</w:t>
            </w:r>
          </w:p>
        </w:tc>
      </w:tr>
      <w:tr>
        <w:tc>
          <w:tcPr>
            <w:tcW w:type="dxa" w:w="1181"/>
            <w:shd w:fill="F4F6F8"/>
            <w:vAlign w:val="center"/>
          </w:tcPr>
          <w:p>
            <w:pPr>
              <w:spacing w:after="0" w:line="240" w:lineRule="auto"/>
            </w:pPr>
            <w:r>
              <w:rPr>
                <w:color w:val="17324D"/>
                <w:sz w:val="13"/>
              </w:rPr>
              <w:t>R3 Condición de uso</w:t>
            </w:r>
          </w:p>
        </w:tc>
        <w:tc>
          <w:tcPr>
            <w:tcW w:type="dxa" w:w="2016"/>
            <w:shd w:fill="F4F6F8"/>
            <w:vAlign w:val="center"/>
          </w:tcPr>
          <w:p>
            <w:pPr>
              <w:spacing w:after="0" w:line="240" w:lineRule="auto"/>
            </w:pPr>
            <w:r>
              <w:rPr>
                <w:color w:val="17324D"/>
                <w:sz w:val="13"/>
              </w:rPr>
              <w:t>Declara idioma, movilidad, acceso, disponibilidad, trazabilidad o permisos.</w:t>
            </w:r>
          </w:p>
        </w:tc>
        <w:tc>
          <w:tcPr>
            <w:tcW w:type="dxa" w:w="2045"/>
            <w:shd w:fill="F4F6F8"/>
            <w:vAlign w:val="center"/>
          </w:tcPr>
          <w:p>
            <w:pPr>
              <w:spacing w:after="0" w:line="240" w:lineRule="auto"/>
            </w:pPr>
            <w:r>
              <w:rPr>
                <w:color w:val="17324D"/>
                <w:sz w:val="13"/>
              </w:rPr>
              <w:t>Entorno u obligación verificable exige condición.</w:t>
            </w:r>
          </w:p>
        </w:tc>
        <w:tc>
          <w:tcPr>
            <w:tcW w:type="dxa" w:w="1224"/>
            <w:shd w:fill="F4F6F8"/>
            <w:vAlign w:val="center"/>
          </w:tcPr>
          <w:p>
            <w:pPr>
              <w:spacing w:after="0" w:line="240" w:lineRule="auto"/>
            </w:pPr>
            <w:r>
              <w:rPr>
                <w:color w:val="17324D"/>
                <w:sz w:val="13"/>
              </w:rPr>
              <w:t>Sin condición ligada a tarea.</w:t>
            </w:r>
          </w:p>
        </w:tc>
        <w:tc>
          <w:tcPr>
            <w:tcW w:type="dxa" w:w="1872"/>
            <w:shd w:fill="F4F6F8"/>
            <w:vAlign w:val="center"/>
          </w:tcPr>
          <w:p>
            <w:pPr>
              <w:spacing w:after="0" w:line="240" w:lineRule="auto"/>
            </w:pPr>
            <w:r>
              <w:rPr>
                <w:color w:val="17324D"/>
                <w:sz w:val="13"/>
              </w:rPr>
              <w:t>Condición, contexto, tarea y fuente de obligación.</w:t>
            </w:r>
          </w:p>
        </w:tc>
        <w:tc>
          <w:tcPr>
            <w:tcW w:type="dxa" w:w="2045"/>
            <w:shd w:fill="F4F6F8"/>
            <w:vAlign w:val="center"/>
          </w:tcPr>
          <w:p>
            <w:pPr>
              <w:spacing w:after="0" w:line="240" w:lineRule="auto"/>
            </w:pPr>
            <w:r>
              <w:rPr>
                <w:color w:val="17324D"/>
                <w:sz w:val="13"/>
              </w:rPr>
              <w:t>Añadir seguridad, privacidad o facilidad genéricas.</w:t>
            </w:r>
          </w:p>
        </w:tc>
      </w:tr>
    </w:tbl>
    <w:p>
      <w:pPr>
        <w:spacing w:after="0"/>
      </w:pPr>
    </w:p>
    <w:p>
      <w:pPr>
        <w:pStyle w:val="Heading2"/>
      </w:pPr>
      <w:r>
        <w:t>C. Barreras de implantación</w:t>
      </w:r>
    </w:p>
    <w:tbl>
      <w:tblPr>
        <w:tblStyle w:val="TableGrid"/>
        <w:tblW w:type="auto" w:w="0"/>
        <w:jc w:val="center"/>
        <w:tblLayout w:type="fixed"/>
        <w:tblLook w:firstColumn="1" w:firstRow="1" w:lastColumn="0" w:lastRow="0" w:noHBand="0" w:noVBand="1" w:val="04A0"/>
      </w:tblPr>
      <w:tblGrid>
        <w:gridCol w:w="1181"/>
        <w:gridCol w:w="2016"/>
        <w:gridCol w:w="2045"/>
        <w:gridCol w:w="1224"/>
        <w:gridCol w:w="1872"/>
        <w:gridCol w:w="2045"/>
      </w:tblGrid>
      <w:tr>
        <w:tc>
          <w:tcPr>
            <w:tcW w:type="dxa" w:w="1704"/>
            <w:shd w:fill="17324D"/>
          </w:tcPr>
          <w:p>
            <w:r>
              <w:rPr>
                <w:b/>
                <w:color w:val="FFFFFF"/>
                <w:sz w:val="13"/>
              </w:rPr>
              <w:t>Ítem</w:t>
            </w:r>
          </w:p>
        </w:tc>
        <w:tc>
          <w:tcPr>
            <w:tcW w:type="dxa" w:w="1704"/>
            <w:shd w:fill="17324D"/>
          </w:tcPr>
          <w:p>
            <w:r>
              <w:rPr>
                <w:b/>
                <w:color w:val="FFFFFF"/>
                <w:sz w:val="13"/>
              </w:rPr>
              <w:t>Observado</w:t>
            </w:r>
          </w:p>
        </w:tc>
        <w:tc>
          <w:tcPr>
            <w:tcW w:type="dxa" w:w="1704"/>
            <w:shd w:fill="17324D"/>
          </w:tcPr>
          <w:p>
            <w:r>
              <w:rPr>
                <w:b/>
                <w:color w:val="FFFFFF"/>
                <w:sz w:val="13"/>
              </w:rPr>
              <w:t>Inferido</w:t>
            </w:r>
          </w:p>
        </w:tc>
        <w:tc>
          <w:tcPr>
            <w:tcW w:type="dxa" w:w="1704"/>
            <w:shd w:fill="17324D"/>
          </w:tcPr>
          <w:p>
            <w:r>
              <w:rPr>
                <w:b/>
                <w:color w:val="FFFFFF"/>
                <w:sz w:val="13"/>
              </w:rPr>
              <w:t>No consta</w:t>
            </w:r>
          </w:p>
        </w:tc>
        <w:tc>
          <w:tcPr>
            <w:tcW w:type="dxa" w:w="1704"/>
            <w:shd w:fill="17324D"/>
          </w:tcPr>
          <w:p>
            <w:r>
              <w:rPr>
                <w:b/>
                <w:color w:val="FFFFFF"/>
                <w:sz w:val="13"/>
              </w:rPr>
              <w:t>Evidencia exigida</w:t>
            </w:r>
          </w:p>
        </w:tc>
        <w:tc>
          <w:tcPr>
            <w:tcW w:type="dxa" w:w="1704"/>
            <w:shd w:fill="17324D"/>
          </w:tcPr>
          <w:p>
            <w:r>
              <w:rPr>
                <w:b/>
                <w:color w:val="FFFFFF"/>
                <w:sz w:val="13"/>
              </w:rPr>
              <w:t>Excluir</w:t>
            </w:r>
          </w:p>
        </w:tc>
      </w:tr>
      <w:tr>
        <w:tc>
          <w:tcPr>
            <w:tcW w:type="dxa" w:w="1181"/>
            <w:shd w:fill="FFFFFF"/>
            <w:vAlign w:val="center"/>
          </w:tcPr>
          <w:p>
            <w:pPr>
              <w:spacing w:after="0" w:line="240" w:lineRule="auto"/>
            </w:pPr>
            <w:r>
              <w:rPr>
                <w:color w:val="17324D"/>
                <w:sz w:val="13"/>
              </w:rPr>
              <w:t>B1 Recursos/retorno</w:t>
            </w:r>
          </w:p>
        </w:tc>
        <w:tc>
          <w:tcPr>
            <w:tcW w:type="dxa" w:w="2016"/>
            <w:shd w:fill="FFFFFF"/>
            <w:vAlign w:val="center"/>
          </w:tcPr>
          <w:p>
            <w:pPr>
              <w:spacing w:after="0" w:line="240" w:lineRule="auto"/>
            </w:pPr>
            <w:r>
              <w:rPr>
                <w:color w:val="17324D"/>
                <w:sz w:val="13"/>
              </w:rPr>
              <w:t>Presupuesto, tiempo o duda de retorno impiden adoptar.</w:t>
            </w:r>
          </w:p>
        </w:tc>
        <w:tc>
          <w:tcPr>
            <w:tcW w:type="dxa" w:w="2045"/>
            <w:shd w:fill="FFFFFF"/>
            <w:vAlign w:val="center"/>
          </w:tcPr>
          <w:p>
            <w:pPr>
              <w:spacing w:after="0" w:line="240" w:lineRule="auto"/>
            </w:pPr>
            <w:r>
              <w:rPr>
                <w:color w:val="17324D"/>
                <w:sz w:val="13"/>
              </w:rPr>
              <w:t>Coste verificable y recursos muestran bloqueo probable.</w:t>
            </w:r>
          </w:p>
        </w:tc>
        <w:tc>
          <w:tcPr>
            <w:tcW w:type="dxa" w:w="1224"/>
            <w:shd w:fill="FFFFFF"/>
            <w:vAlign w:val="center"/>
          </w:tcPr>
          <w:p>
            <w:pPr>
              <w:spacing w:after="0" w:line="240" w:lineRule="auto"/>
            </w:pPr>
            <w:r>
              <w:rPr>
                <w:color w:val="17324D"/>
                <w:sz w:val="13"/>
              </w:rPr>
              <w:t>Sin datos de adopción/recursos.</w:t>
            </w:r>
          </w:p>
        </w:tc>
        <w:tc>
          <w:tcPr>
            <w:tcW w:type="dxa" w:w="1872"/>
            <w:shd w:fill="FFFFFF"/>
            <w:vAlign w:val="center"/>
          </w:tcPr>
          <w:p>
            <w:pPr>
              <w:spacing w:after="0" w:line="240" w:lineRule="auto"/>
            </w:pPr>
            <w:r>
              <w:rPr>
                <w:color w:val="17324D"/>
                <w:sz w:val="13"/>
              </w:rPr>
              <w:t>Obstáculo ligado a decisión de implantación.</w:t>
            </w:r>
          </w:p>
        </w:tc>
        <w:tc>
          <w:tcPr>
            <w:tcW w:type="dxa" w:w="2045"/>
            <w:shd w:fill="FFFFFF"/>
            <w:vAlign w:val="center"/>
          </w:tcPr>
          <w:p>
            <w:pPr>
              <w:spacing w:after="0" w:line="240" w:lineRule="auto"/>
            </w:pPr>
            <w:r>
              <w:rPr>
                <w:color w:val="17324D"/>
                <w:sz w:val="13"/>
              </w:rPr>
              <w:t>Confundir coste del dolor e implantación; bajo presupuesto ≠ brecha.</w:t>
            </w:r>
          </w:p>
        </w:tc>
      </w:tr>
      <w:tr>
        <w:tc>
          <w:tcPr>
            <w:tcW w:type="dxa" w:w="1181"/>
            <w:shd w:fill="F4F6F8"/>
            <w:vAlign w:val="center"/>
          </w:tcPr>
          <w:p>
            <w:pPr>
              <w:spacing w:after="0" w:line="240" w:lineRule="auto"/>
            </w:pPr>
            <w:r>
              <w:rPr>
                <w:color w:val="17324D"/>
                <w:sz w:val="13"/>
              </w:rPr>
              <w:t>B2 Capacidades/cambio</w:t>
            </w:r>
          </w:p>
        </w:tc>
        <w:tc>
          <w:tcPr>
            <w:tcW w:type="dxa" w:w="2016"/>
            <w:shd w:fill="F4F6F8"/>
            <w:vAlign w:val="center"/>
          </w:tcPr>
          <w:p>
            <w:pPr>
              <w:spacing w:after="0" w:line="240" w:lineRule="auto"/>
            </w:pPr>
            <w:r>
              <w:rPr>
                <w:color w:val="17324D"/>
                <w:sz w:val="13"/>
              </w:rPr>
              <w:t>Declara falta de formación, tiempo, competencias o aceptación.</w:t>
            </w:r>
          </w:p>
        </w:tc>
        <w:tc>
          <w:tcPr>
            <w:tcW w:type="dxa" w:w="2045"/>
            <w:shd w:fill="F4F6F8"/>
            <w:vAlign w:val="center"/>
          </w:tcPr>
          <w:p>
            <w:pPr>
              <w:spacing w:after="0" w:line="240" w:lineRule="auto"/>
            </w:pPr>
            <w:r>
              <w:rPr>
                <w:color w:val="17324D"/>
                <w:sz w:val="13"/>
              </w:rPr>
              <w:t>Tentativa fallida y proceso sostienen dificultad.</w:t>
            </w:r>
          </w:p>
        </w:tc>
        <w:tc>
          <w:tcPr>
            <w:tcW w:type="dxa" w:w="1224"/>
            <w:shd w:fill="F4F6F8"/>
            <w:vAlign w:val="center"/>
          </w:tcPr>
          <w:p>
            <w:pPr>
              <w:spacing w:after="0" w:line="240" w:lineRule="auto"/>
            </w:pPr>
            <w:r>
              <w:rPr>
                <w:color w:val="17324D"/>
                <w:sz w:val="13"/>
              </w:rPr>
              <w:t>Capacidad desconocida.</w:t>
            </w:r>
          </w:p>
        </w:tc>
        <w:tc>
          <w:tcPr>
            <w:tcW w:type="dxa" w:w="1872"/>
            <w:shd w:fill="F4F6F8"/>
            <w:vAlign w:val="center"/>
          </w:tcPr>
          <w:p>
            <w:pPr>
              <w:spacing w:after="0" w:line="240" w:lineRule="auto"/>
            </w:pPr>
            <w:r>
              <w:rPr>
                <w:color w:val="17324D"/>
                <w:sz w:val="13"/>
              </w:rPr>
              <w:t>Quién cambiaría qué y qué lo dificulta.</w:t>
            </w:r>
          </w:p>
        </w:tc>
        <w:tc>
          <w:tcPr>
            <w:tcW w:type="dxa" w:w="2045"/>
            <w:shd w:fill="F4F6F8"/>
            <w:vAlign w:val="center"/>
          </w:tcPr>
          <w:p>
            <w:pPr>
              <w:spacing w:after="0" w:line="240" w:lineRule="auto"/>
            </w:pPr>
            <w:r>
              <w:rPr>
                <w:color w:val="17324D"/>
                <w:sz w:val="13"/>
              </w:rPr>
              <w:t>Estereotipos por edad, sector o tamaño.</w:t>
            </w:r>
          </w:p>
        </w:tc>
      </w:tr>
      <w:tr>
        <w:tc>
          <w:tcPr>
            <w:tcW w:type="dxa" w:w="1181"/>
            <w:shd w:fill="FFFFFF"/>
            <w:vAlign w:val="center"/>
          </w:tcPr>
          <w:p>
            <w:pPr>
              <w:spacing w:after="0" w:line="240" w:lineRule="auto"/>
            </w:pPr>
            <w:r>
              <w:rPr>
                <w:color w:val="17324D"/>
                <w:sz w:val="13"/>
              </w:rPr>
              <w:t>B3 Dependencia</w:t>
            </w:r>
          </w:p>
        </w:tc>
        <w:tc>
          <w:tcPr>
            <w:tcW w:type="dxa" w:w="2016"/>
            <w:shd w:fill="FFFFFF"/>
            <w:vAlign w:val="center"/>
          </w:tcPr>
          <w:p>
            <w:pPr>
              <w:spacing w:after="0" w:line="240" w:lineRule="auto"/>
            </w:pPr>
            <w:r>
              <w:rPr>
                <w:color w:val="17324D"/>
                <w:sz w:val="13"/>
              </w:rPr>
              <w:t>Sistema previo, contrato, cliente o regla concreta bloquea adopción/cambio.</w:t>
            </w:r>
          </w:p>
        </w:tc>
        <w:tc>
          <w:tcPr>
            <w:tcW w:type="dxa" w:w="2045"/>
            <w:shd w:fill="FFFFFF"/>
            <w:vAlign w:val="center"/>
          </w:tcPr>
          <w:p>
            <w:pPr>
              <w:spacing w:after="0" w:line="240" w:lineRule="auto"/>
            </w:pPr>
            <w:r>
              <w:rPr>
                <w:color w:val="17324D"/>
                <w:sz w:val="13"/>
              </w:rPr>
              <w:t>Dependencia documentada afecta al proceso.</w:t>
            </w:r>
          </w:p>
        </w:tc>
        <w:tc>
          <w:tcPr>
            <w:tcW w:type="dxa" w:w="1224"/>
            <w:shd w:fill="FFFFFF"/>
            <w:vAlign w:val="center"/>
          </w:tcPr>
          <w:p>
            <w:pPr>
              <w:spacing w:after="0" w:line="240" w:lineRule="auto"/>
            </w:pPr>
            <w:r>
              <w:rPr>
                <w:color w:val="17324D"/>
                <w:sz w:val="13"/>
              </w:rPr>
              <w:t>Vínculo causal no acreditado.</w:t>
            </w:r>
          </w:p>
        </w:tc>
        <w:tc>
          <w:tcPr>
            <w:tcW w:type="dxa" w:w="1872"/>
            <w:shd w:fill="FFFFFF"/>
            <w:vAlign w:val="center"/>
          </w:tcPr>
          <w:p>
            <w:pPr>
              <w:spacing w:after="0" w:line="240" w:lineRule="auto"/>
            </w:pPr>
            <w:r>
              <w:rPr>
                <w:color w:val="17324D"/>
                <w:sz w:val="13"/>
              </w:rPr>
              <w:t>Sistema/cláusula/regla y mecanismo.</w:t>
            </w:r>
          </w:p>
        </w:tc>
        <w:tc>
          <w:tcPr>
            <w:tcW w:type="dxa" w:w="2045"/>
            <w:shd w:fill="FFFFFF"/>
            <w:vAlign w:val="center"/>
          </w:tcPr>
          <w:p>
            <w:pPr>
              <w:spacing w:after="0" w:line="240" w:lineRule="auto"/>
            </w:pPr>
            <w:r>
              <w:rPr>
                <w:color w:val="17324D"/>
                <w:sz w:val="13"/>
              </w:rPr>
              <w:t>Existencia de software/norma como prueba suficiente.</w:t>
            </w:r>
          </w:p>
        </w:tc>
      </w:tr>
    </w:tbl>
    <w:p>
      <w:pPr>
        <w:spacing w:after="0"/>
      </w:pPr>
    </w:p>
    <w:p>
      <w:pPr>
        <w:pStyle w:val="Heading2"/>
      </w:pPr>
      <w:r>
        <w:t>D. Brecha de oferta</w:t>
      </w:r>
    </w:p>
    <w:tbl>
      <w:tblPr>
        <w:tblStyle w:val="TableGrid"/>
        <w:tblW w:type="auto" w:w="0"/>
        <w:jc w:val="center"/>
        <w:tblLayout w:type="fixed"/>
        <w:tblLook w:firstColumn="1" w:firstRow="1" w:lastColumn="0" w:lastRow="0" w:noHBand="0" w:noVBand="1" w:val="04A0"/>
      </w:tblPr>
      <w:tblGrid>
        <w:gridCol w:w="1181"/>
        <w:gridCol w:w="2016"/>
        <w:gridCol w:w="2045"/>
        <w:gridCol w:w="1224"/>
        <w:gridCol w:w="1872"/>
        <w:gridCol w:w="2045"/>
      </w:tblGrid>
      <w:tr>
        <w:tc>
          <w:tcPr>
            <w:tcW w:type="dxa" w:w="1704"/>
            <w:shd w:fill="17324D"/>
          </w:tcPr>
          <w:p>
            <w:r>
              <w:rPr>
                <w:b/>
                <w:color w:val="FFFFFF"/>
                <w:sz w:val="13"/>
              </w:rPr>
              <w:t>Ítem</w:t>
            </w:r>
          </w:p>
        </w:tc>
        <w:tc>
          <w:tcPr>
            <w:tcW w:type="dxa" w:w="1704"/>
            <w:shd w:fill="17324D"/>
          </w:tcPr>
          <w:p>
            <w:r>
              <w:rPr>
                <w:b/>
                <w:color w:val="FFFFFF"/>
                <w:sz w:val="13"/>
              </w:rPr>
              <w:t>Observado</w:t>
            </w:r>
          </w:p>
        </w:tc>
        <w:tc>
          <w:tcPr>
            <w:tcW w:type="dxa" w:w="1704"/>
            <w:shd w:fill="17324D"/>
          </w:tcPr>
          <w:p>
            <w:r>
              <w:rPr>
                <w:b/>
                <w:color w:val="FFFFFF"/>
                <w:sz w:val="13"/>
              </w:rPr>
              <w:t>Inferido</w:t>
            </w:r>
          </w:p>
        </w:tc>
        <w:tc>
          <w:tcPr>
            <w:tcW w:type="dxa" w:w="1704"/>
            <w:shd w:fill="17324D"/>
          </w:tcPr>
          <w:p>
            <w:r>
              <w:rPr>
                <w:b/>
                <w:color w:val="FFFFFF"/>
                <w:sz w:val="13"/>
              </w:rPr>
              <w:t>No consta</w:t>
            </w:r>
          </w:p>
        </w:tc>
        <w:tc>
          <w:tcPr>
            <w:tcW w:type="dxa" w:w="1704"/>
            <w:shd w:fill="17324D"/>
          </w:tcPr>
          <w:p>
            <w:r>
              <w:rPr>
                <w:b/>
                <w:color w:val="FFFFFF"/>
                <w:sz w:val="13"/>
              </w:rPr>
              <w:t>Evidencia exigida</w:t>
            </w:r>
          </w:p>
        </w:tc>
        <w:tc>
          <w:tcPr>
            <w:tcW w:type="dxa" w:w="1704"/>
            <w:shd w:fill="17324D"/>
          </w:tcPr>
          <w:p>
            <w:r>
              <w:rPr>
                <w:b/>
                <w:color w:val="FFFFFF"/>
                <w:sz w:val="13"/>
              </w:rPr>
              <w:t>Excluir</w:t>
            </w:r>
          </w:p>
        </w:tc>
      </w:tr>
      <w:tr>
        <w:tc>
          <w:tcPr>
            <w:tcW w:type="dxa" w:w="1181"/>
            <w:shd w:fill="FFFFFF"/>
            <w:vAlign w:val="center"/>
          </w:tcPr>
          <w:p>
            <w:pPr>
              <w:spacing w:after="0" w:line="240" w:lineRule="auto"/>
            </w:pPr>
            <w:r>
              <w:rPr>
                <w:color w:val="17324D"/>
                <w:sz w:val="13"/>
              </w:rPr>
              <w:t>G1 Insuficiencia percibida</w:t>
            </w:r>
          </w:p>
        </w:tc>
        <w:tc>
          <w:tcPr>
            <w:tcW w:type="dxa" w:w="2016"/>
            <w:shd w:fill="FFFFFF"/>
            <w:vAlign w:val="center"/>
          </w:tcPr>
          <w:p>
            <w:pPr>
              <w:spacing w:after="0" w:line="240" w:lineRule="auto"/>
            </w:pPr>
            <w:r>
              <w:rPr>
                <w:color w:val="17324D"/>
                <w:sz w:val="13"/>
              </w:rPr>
              <w:t>Identifica opción usada/evaluada y carencia.</w:t>
            </w:r>
          </w:p>
        </w:tc>
        <w:tc>
          <w:tcPr>
            <w:tcW w:type="dxa" w:w="2045"/>
            <w:shd w:fill="FFFFFF"/>
            <w:vAlign w:val="center"/>
          </w:tcPr>
          <w:p>
            <w:pPr>
              <w:spacing w:after="0" w:line="240" w:lineRule="auto"/>
            </w:pPr>
            <w:r>
              <w:rPr>
                <w:color w:val="17324D"/>
                <w:sz w:val="13"/>
              </w:rPr>
              <w:t>Requisito y especificación sugieren desajuste.</w:t>
            </w:r>
          </w:p>
        </w:tc>
        <w:tc>
          <w:tcPr>
            <w:tcW w:type="dxa" w:w="1224"/>
            <w:shd w:fill="FFFFFF"/>
            <w:vAlign w:val="center"/>
          </w:tcPr>
          <w:p>
            <w:pPr>
              <w:spacing w:after="0" w:line="240" w:lineRule="auto"/>
            </w:pPr>
            <w:r>
              <w:rPr>
                <w:color w:val="17324D"/>
                <w:sz w:val="13"/>
              </w:rPr>
              <w:t>No identifica opción.</w:t>
            </w:r>
          </w:p>
        </w:tc>
        <w:tc>
          <w:tcPr>
            <w:tcW w:type="dxa" w:w="1872"/>
            <w:shd w:fill="FFFFFF"/>
            <w:vAlign w:val="center"/>
          </w:tcPr>
          <w:p>
            <w:pPr>
              <w:spacing w:after="0" w:line="240" w:lineRule="auto"/>
            </w:pPr>
            <w:r>
              <w:rPr>
                <w:color w:val="17324D"/>
                <w:sz w:val="13"/>
              </w:rPr>
              <w:t>Queja y documentación fechada.</w:t>
            </w:r>
          </w:p>
        </w:tc>
        <w:tc>
          <w:tcPr>
            <w:tcW w:type="dxa" w:w="2045"/>
            <w:shd w:fill="FFFFFF"/>
            <w:vAlign w:val="center"/>
          </w:tcPr>
          <w:p>
            <w:pPr>
              <w:spacing w:after="0" w:line="240" w:lineRule="auto"/>
            </w:pPr>
            <w:r>
              <w:rPr>
                <w:color w:val="17324D"/>
                <w:sz w:val="13"/>
              </w:rPr>
              <w:t>“No hay nada” como prueba de inexistencia.</w:t>
            </w:r>
          </w:p>
        </w:tc>
      </w:tr>
      <w:tr>
        <w:tc>
          <w:tcPr>
            <w:tcW w:type="dxa" w:w="1181"/>
            <w:shd w:fill="F4F6F8"/>
            <w:vAlign w:val="center"/>
          </w:tcPr>
          <w:p>
            <w:pPr>
              <w:spacing w:after="0" w:line="240" w:lineRule="auto"/>
            </w:pPr>
            <w:r>
              <w:rPr>
                <w:color w:val="17324D"/>
                <w:sz w:val="13"/>
              </w:rPr>
              <w:t>G2 Acceso/condiciones</w:t>
            </w:r>
          </w:p>
        </w:tc>
        <w:tc>
          <w:tcPr>
            <w:tcW w:type="dxa" w:w="2016"/>
            <w:shd w:fill="F4F6F8"/>
            <w:vAlign w:val="center"/>
          </w:tcPr>
          <w:p>
            <w:pPr>
              <w:spacing w:after="0" w:line="240" w:lineRule="auto"/>
            </w:pPr>
            <w:r>
              <w:rPr>
                <w:color w:val="17324D"/>
                <w:sz w:val="13"/>
              </w:rPr>
              <w:t>Condición concreta de opción impide uso.</w:t>
            </w:r>
          </w:p>
        </w:tc>
        <w:tc>
          <w:tcPr>
            <w:tcW w:type="dxa" w:w="2045"/>
            <w:shd w:fill="F4F6F8"/>
            <w:vAlign w:val="center"/>
          </w:tcPr>
          <w:p>
            <w:pPr>
              <w:spacing w:after="0" w:line="240" w:lineRule="auto"/>
            </w:pPr>
            <w:r>
              <w:rPr>
                <w:color w:val="17324D"/>
                <w:sz w:val="13"/>
              </w:rPr>
              <w:t>Términos y restricción del caso incompatibles.</w:t>
            </w:r>
          </w:p>
        </w:tc>
        <w:tc>
          <w:tcPr>
            <w:tcW w:type="dxa" w:w="1224"/>
            <w:shd w:fill="F4F6F8"/>
            <w:vAlign w:val="center"/>
          </w:tcPr>
          <w:p>
            <w:pPr>
              <w:spacing w:after="0" w:line="240" w:lineRule="auto"/>
            </w:pPr>
            <w:r>
              <w:rPr>
                <w:color w:val="17324D"/>
                <w:sz w:val="13"/>
              </w:rPr>
              <w:t>Cotejo insuficiente.</w:t>
            </w:r>
          </w:p>
        </w:tc>
        <w:tc>
          <w:tcPr>
            <w:tcW w:type="dxa" w:w="1872"/>
            <w:shd w:fill="F4F6F8"/>
            <w:vAlign w:val="center"/>
          </w:tcPr>
          <w:p>
            <w:pPr>
              <w:spacing w:after="0" w:line="240" w:lineRule="auto"/>
            </w:pPr>
            <w:r>
              <w:rPr>
                <w:color w:val="17324D"/>
                <w:sz w:val="13"/>
              </w:rPr>
              <w:t>Términos, restricción y fecha.</w:t>
            </w:r>
          </w:p>
        </w:tc>
        <w:tc>
          <w:tcPr>
            <w:tcW w:type="dxa" w:w="2045"/>
            <w:shd w:fill="F4F6F8"/>
            <w:vAlign w:val="center"/>
          </w:tcPr>
          <w:p>
            <w:pPr>
              <w:spacing w:after="0" w:line="240" w:lineRule="auto"/>
            </w:pPr>
            <w:r>
              <w:rPr>
                <w:color w:val="17324D"/>
                <w:sz w:val="13"/>
              </w:rPr>
              <w:t>Preferencia/presupuesto individual como brecha general.</w:t>
            </w:r>
          </w:p>
        </w:tc>
      </w:tr>
      <w:tr>
        <w:tc>
          <w:tcPr>
            <w:tcW w:type="dxa" w:w="1181"/>
            <w:shd w:fill="FFFFFF"/>
            <w:vAlign w:val="center"/>
          </w:tcPr>
          <w:p>
            <w:pPr>
              <w:spacing w:after="0" w:line="240" w:lineRule="auto"/>
            </w:pPr>
            <w:r>
              <w:rPr>
                <w:color w:val="17324D"/>
                <w:sz w:val="13"/>
              </w:rPr>
              <w:t>G3 Oferta examinada</w:t>
            </w:r>
          </w:p>
        </w:tc>
        <w:tc>
          <w:tcPr>
            <w:tcW w:type="dxa" w:w="2016"/>
            <w:shd w:fill="FFFFFF"/>
            <w:vAlign w:val="center"/>
          </w:tcPr>
          <w:p>
            <w:pPr>
              <w:spacing w:after="0" w:line="240" w:lineRule="auto"/>
            </w:pPr>
            <w:r>
              <w:rPr>
                <w:color w:val="17324D"/>
                <w:sz w:val="13"/>
              </w:rPr>
              <w:t>Búsqueda reproducible no halla opción para requisitos indispensables predefinidos.</w:t>
            </w:r>
          </w:p>
        </w:tc>
        <w:tc>
          <w:tcPr>
            <w:tcW w:type="dxa" w:w="2045"/>
            <w:shd w:fill="FFFFFF"/>
            <w:vAlign w:val="center"/>
          </w:tcPr>
          <w:p>
            <w:pPr>
              <w:spacing w:after="0" w:line="240" w:lineRule="auto"/>
            </w:pPr>
            <w:r>
              <w:rPr>
                <w:color w:val="17324D"/>
                <w:sz w:val="13"/>
              </w:rPr>
              <w:t>Alternativas muestran desajustes, pero búsqueda incompleta.</w:t>
            </w:r>
          </w:p>
        </w:tc>
        <w:tc>
          <w:tcPr>
            <w:tcW w:type="dxa" w:w="1224"/>
            <w:shd w:fill="FFFFFF"/>
            <w:vAlign w:val="center"/>
          </w:tcPr>
          <w:p>
            <w:pPr>
              <w:spacing w:after="0" w:line="240" w:lineRule="auto"/>
            </w:pPr>
            <w:r>
              <w:rPr>
                <w:color w:val="17324D"/>
                <w:sz w:val="13"/>
              </w:rPr>
              <w:t>Oferta examinada insuficiente.</w:t>
            </w:r>
          </w:p>
        </w:tc>
        <w:tc>
          <w:tcPr>
            <w:tcW w:type="dxa" w:w="1872"/>
            <w:shd w:fill="FFFFFF"/>
            <w:vAlign w:val="center"/>
          </w:tcPr>
          <w:p>
            <w:pPr>
              <w:spacing w:after="0" w:line="240" w:lineRule="auto"/>
            </w:pPr>
            <w:r>
              <w:rPr>
                <w:color w:val="17324D"/>
                <w:sz w:val="13"/>
              </w:rPr>
              <w:t>Consultas, fuentes, candidatos, criterios y matriz.</w:t>
            </w:r>
          </w:p>
        </w:tc>
        <w:tc>
          <w:tcPr>
            <w:tcW w:type="dxa" w:w="2045"/>
            <w:shd w:fill="FFFFFF"/>
            <w:vAlign w:val="center"/>
          </w:tcPr>
          <w:p>
            <w:pPr>
              <w:spacing w:after="0" w:line="240" w:lineRule="auto"/>
            </w:pPr>
            <w:r>
              <w:rPr>
                <w:color w:val="17324D"/>
                <w:sz w:val="13"/>
              </w:rPr>
              <w:t>Afirmar inexistencia total; nombrar “brecha acotada a oferta examinada”.</w:t>
            </w:r>
          </w:p>
        </w:tc>
      </w:tr>
    </w:tbl>
    <w:p>
      <w:pPr>
        <w:spacing w:after="0"/>
      </w:pPr>
    </w:p>
    <w:p>
      <w:r>
        <w:t>Un segmento puede recibir códigos de varias categorías solo si cada uno tiene su propio anclaje. Dolor describe experiencia; requisito define comportamiento/condición; barrera explica dificultad de adopción; brecha compara requisitos indispensables con opciones reales. Ninguno se deriva automáticamente del anterior.</w:t>
      </w:r>
    </w:p>
    <w:p>
      <w:pPr>
        <w:pStyle w:val="Heading1"/>
      </w:pPr>
      <w:r>
        <w:t>5. Análisis del discurso</w:t>
      </w:r>
    </w:p>
    <w:p>
      <w:r>
        <w:t>El análisis discursivo examina cómo se formula la queja y se distribuyen causas, responsabilidades y soluciones. La atribución del hablante no se trata como causalidad demostrada.</w:t>
      </w:r>
    </w:p>
    <w:tbl>
      <w:tblPr>
        <w:tblStyle w:val="TableGrid"/>
        <w:tblW w:type="auto" w:w="0"/>
        <w:jc w:val="center"/>
        <w:tblLayout w:type="fixed"/>
        <w:tblLook w:firstColumn="1" w:firstRow="1" w:lastColumn="0" w:lastRow="0" w:noHBand="0" w:noVBand="1" w:val="04A0"/>
      </w:tblPr>
      <w:tblGrid>
        <w:gridCol w:w="1181"/>
        <w:gridCol w:w="2016"/>
        <w:gridCol w:w="2045"/>
        <w:gridCol w:w="1224"/>
        <w:gridCol w:w="1872"/>
        <w:gridCol w:w="2045"/>
      </w:tblGrid>
      <w:tr>
        <w:tc>
          <w:tcPr>
            <w:tcW w:type="dxa" w:w="1704"/>
            <w:shd w:fill="17324D"/>
          </w:tcPr>
          <w:p>
            <w:r>
              <w:rPr>
                <w:b/>
                <w:color w:val="FFFFFF"/>
                <w:sz w:val="13"/>
              </w:rPr>
              <w:t>Ítem</w:t>
            </w:r>
          </w:p>
        </w:tc>
        <w:tc>
          <w:tcPr>
            <w:tcW w:type="dxa" w:w="1704"/>
            <w:shd w:fill="17324D"/>
          </w:tcPr>
          <w:p>
            <w:r>
              <w:rPr>
                <w:b/>
                <w:color w:val="FFFFFF"/>
                <w:sz w:val="13"/>
              </w:rPr>
              <w:t>Observado</w:t>
            </w:r>
          </w:p>
        </w:tc>
        <w:tc>
          <w:tcPr>
            <w:tcW w:type="dxa" w:w="1704"/>
            <w:shd w:fill="17324D"/>
          </w:tcPr>
          <w:p>
            <w:r>
              <w:rPr>
                <w:b/>
                <w:color w:val="FFFFFF"/>
                <w:sz w:val="13"/>
              </w:rPr>
              <w:t>Inferido</w:t>
            </w:r>
          </w:p>
        </w:tc>
        <w:tc>
          <w:tcPr>
            <w:tcW w:type="dxa" w:w="1704"/>
            <w:shd w:fill="17324D"/>
          </w:tcPr>
          <w:p>
            <w:r>
              <w:rPr>
                <w:b/>
                <w:color w:val="FFFFFF"/>
                <w:sz w:val="13"/>
              </w:rPr>
              <w:t>No consta</w:t>
            </w:r>
          </w:p>
        </w:tc>
        <w:tc>
          <w:tcPr>
            <w:tcW w:type="dxa" w:w="1704"/>
            <w:shd w:fill="17324D"/>
          </w:tcPr>
          <w:p>
            <w:r>
              <w:rPr>
                <w:b/>
                <w:color w:val="FFFFFF"/>
                <w:sz w:val="13"/>
              </w:rPr>
              <w:t>Evidencia exigida</w:t>
            </w:r>
          </w:p>
        </w:tc>
        <w:tc>
          <w:tcPr>
            <w:tcW w:type="dxa" w:w="1704"/>
            <w:shd w:fill="17324D"/>
          </w:tcPr>
          <w:p>
            <w:r>
              <w:rPr>
                <w:b/>
                <w:color w:val="FFFFFF"/>
                <w:sz w:val="13"/>
              </w:rPr>
              <w:t>Excluir</w:t>
            </w:r>
          </w:p>
        </w:tc>
      </w:tr>
      <w:tr>
        <w:tc>
          <w:tcPr>
            <w:tcW w:type="dxa" w:w="1181"/>
            <w:shd w:fill="FFFFFF"/>
            <w:vAlign w:val="center"/>
          </w:tcPr>
          <w:p>
            <w:pPr>
              <w:spacing w:after="0" w:line="240" w:lineRule="auto"/>
            </w:pPr>
            <w:r>
              <w:rPr>
                <w:color w:val="17324D"/>
                <w:sz w:val="13"/>
              </w:rPr>
              <w:t>Q1 Género/destinatario</w:t>
            </w:r>
          </w:p>
        </w:tc>
        <w:tc>
          <w:tcPr>
            <w:tcW w:type="dxa" w:w="2016"/>
            <w:shd w:fill="FFFFFF"/>
            <w:vAlign w:val="center"/>
          </w:tcPr>
          <w:p>
            <w:pPr>
              <w:spacing w:after="0" w:line="240" w:lineRule="auto"/>
            </w:pPr>
            <w:r>
              <w:rPr>
                <w:color w:val="17324D"/>
                <w:sz w:val="13"/>
              </w:rPr>
              <w:t>Destinatario identificado o género explícito (reclamación/reseña).</w:t>
            </w:r>
          </w:p>
        </w:tc>
        <w:tc>
          <w:tcPr>
            <w:tcW w:type="dxa" w:w="2045"/>
            <w:shd w:fill="FFFFFF"/>
            <w:vAlign w:val="center"/>
          </w:tcPr>
          <w:p>
            <w:pPr>
              <w:spacing w:after="0" w:line="240" w:lineRule="auto"/>
            </w:pPr>
            <w:r>
              <w:rPr>
                <w:color w:val="17324D"/>
                <w:sz w:val="13"/>
              </w:rPr>
              <w:t>Formato y texto convergen hacia destinatario probable.</w:t>
            </w:r>
          </w:p>
        </w:tc>
        <w:tc>
          <w:tcPr>
            <w:tcW w:type="dxa" w:w="1224"/>
            <w:shd w:fill="FFFFFF"/>
            <w:vAlign w:val="center"/>
          </w:tcPr>
          <w:p>
            <w:pPr>
              <w:spacing w:after="0" w:line="240" w:lineRule="auto"/>
            </w:pPr>
            <w:r>
              <w:rPr>
                <w:color w:val="17324D"/>
                <w:sz w:val="13"/>
              </w:rPr>
              <w:t>Indeterminado.</w:t>
            </w:r>
          </w:p>
        </w:tc>
        <w:tc>
          <w:tcPr>
            <w:tcW w:type="dxa" w:w="1872"/>
            <w:shd w:fill="FFFFFF"/>
            <w:vAlign w:val="center"/>
          </w:tcPr>
          <w:p>
            <w:pPr>
              <w:spacing w:after="0" w:line="240" w:lineRule="auto"/>
            </w:pPr>
            <w:r>
              <w:rPr>
                <w:color w:val="17324D"/>
                <w:sz w:val="13"/>
              </w:rPr>
              <w:t>Publicación completa e hilo/medio.</w:t>
            </w:r>
          </w:p>
        </w:tc>
        <w:tc>
          <w:tcPr>
            <w:tcW w:type="dxa" w:w="2045"/>
            <w:shd w:fill="FFFFFF"/>
            <w:vAlign w:val="center"/>
          </w:tcPr>
          <w:p>
            <w:pPr>
              <w:spacing w:after="0" w:line="240" w:lineRule="auto"/>
            </w:pPr>
            <w:r>
              <w:rPr>
                <w:color w:val="17324D"/>
                <w:sz w:val="13"/>
              </w:rPr>
              <w:t>Inferir intención solo por plataforma.</w:t>
            </w:r>
          </w:p>
        </w:tc>
      </w:tr>
      <w:tr>
        <w:tc>
          <w:tcPr>
            <w:tcW w:type="dxa" w:w="1181"/>
            <w:shd w:fill="F4F6F8"/>
            <w:vAlign w:val="center"/>
          </w:tcPr>
          <w:p>
            <w:pPr>
              <w:spacing w:after="0" w:line="240" w:lineRule="auto"/>
            </w:pPr>
            <w:r>
              <w:rPr>
                <w:color w:val="17324D"/>
                <w:sz w:val="13"/>
              </w:rPr>
              <w:t>Q2 Causa/responsabilidad</w:t>
            </w:r>
          </w:p>
        </w:tc>
        <w:tc>
          <w:tcPr>
            <w:tcW w:type="dxa" w:w="2016"/>
            <w:shd w:fill="F4F6F8"/>
            <w:vAlign w:val="center"/>
          </w:tcPr>
          <w:p>
            <w:pPr>
              <w:spacing w:after="0" w:line="240" w:lineRule="auto"/>
            </w:pPr>
            <w:r>
              <w:rPr>
                <w:color w:val="17324D"/>
                <w:sz w:val="13"/>
              </w:rPr>
              <w:t>Señala quién/qué causa y quién debería actuar.</w:t>
            </w:r>
          </w:p>
        </w:tc>
        <w:tc>
          <w:tcPr>
            <w:tcW w:type="dxa" w:w="2045"/>
            <w:shd w:fill="F4F6F8"/>
            <w:vAlign w:val="center"/>
          </w:tcPr>
          <w:p>
            <w:pPr>
              <w:spacing w:after="0" w:line="240" w:lineRule="auto"/>
            </w:pPr>
            <w:r>
              <w:rPr>
                <w:color w:val="17324D"/>
                <w:sz w:val="13"/>
              </w:rPr>
              <w:t>Dos marcas apoyan atribución implícita.</w:t>
            </w:r>
          </w:p>
        </w:tc>
        <w:tc>
          <w:tcPr>
            <w:tcW w:type="dxa" w:w="1224"/>
            <w:shd w:fill="F4F6F8"/>
            <w:vAlign w:val="center"/>
          </w:tcPr>
          <w:p>
            <w:pPr>
              <w:spacing w:after="0" w:line="240" w:lineRule="auto"/>
            </w:pPr>
            <w:r>
              <w:rPr>
                <w:color w:val="17324D"/>
                <w:sz w:val="13"/>
              </w:rPr>
              <w:t>No atribuye.</w:t>
            </w:r>
          </w:p>
        </w:tc>
        <w:tc>
          <w:tcPr>
            <w:tcW w:type="dxa" w:w="1872"/>
            <w:shd w:fill="F4F6F8"/>
            <w:vAlign w:val="center"/>
          </w:tcPr>
          <w:p>
            <w:pPr>
              <w:spacing w:after="0" w:line="240" w:lineRule="auto"/>
            </w:pPr>
            <w:r>
              <w:rPr>
                <w:color w:val="17324D"/>
                <w:sz w:val="13"/>
              </w:rPr>
              <w:t>Verbos, agentes y pasajes.</w:t>
            </w:r>
          </w:p>
        </w:tc>
        <w:tc>
          <w:tcPr>
            <w:tcW w:type="dxa" w:w="2045"/>
            <w:shd w:fill="F4F6F8"/>
            <w:vAlign w:val="center"/>
          </w:tcPr>
          <w:p>
            <w:pPr>
              <w:spacing w:after="0" w:line="240" w:lineRule="auto"/>
            </w:pPr>
            <w:r>
              <w:rPr>
                <w:color w:val="17324D"/>
                <w:sz w:val="13"/>
              </w:rPr>
              <w:t>Confundir atribución y causa probada.</w:t>
            </w:r>
          </w:p>
        </w:tc>
      </w:tr>
      <w:tr>
        <w:tc>
          <w:tcPr>
            <w:tcW w:type="dxa" w:w="1181"/>
            <w:shd w:fill="FFFFFF"/>
            <w:vAlign w:val="center"/>
          </w:tcPr>
          <w:p>
            <w:pPr>
              <w:spacing w:after="0" w:line="240" w:lineRule="auto"/>
            </w:pPr>
            <w:r>
              <w:rPr>
                <w:color w:val="17324D"/>
                <w:sz w:val="13"/>
              </w:rPr>
              <w:t>Q3 Urgencia/solución</w:t>
            </w:r>
          </w:p>
        </w:tc>
        <w:tc>
          <w:tcPr>
            <w:tcW w:type="dxa" w:w="2016"/>
            <w:shd w:fill="FFFFFF"/>
            <w:vAlign w:val="center"/>
          </w:tcPr>
          <w:p>
            <w:pPr>
              <w:spacing w:after="0" w:line="240" w:lineRule="auto"/>
            </w:pPr>
            <w:r>
              <w:rPr>
                <w:color w:val="17324D"/>
                <w:sz w:val="13"/>
              </w:rPr>
              <w:t>Expresa necesidad, imposibilidad, rechazo o solución.</w:t>
            </w:r>
          </w:p>
        </w:tc>
        <w:tc>
          <w:tcPr>
            <w:tcW w:type="dxa" w:w="2045"/>
            <w:shd w:fill="FFFFFF"/>
            <w:vAlign w:val="center"/>
          </w:tcPr>
          <w:p>
            <w:pPr>
              <w:spacing w:after="0" w:line="240" w:lineRule="auto"/>
            </w:pPr>
            <w:r>
              <w:rPr>
                <w:color w:val="17324D"/>
                <w:sz w:val="13"/>
              </w:rPr>
              <w:t>Patrón reiterado identifica marco.</w:t>
            </w:r>
          </w:p>
        </w:tc>
        <w:tc>
          <w:tcPr>
            <w:tcW w:type="dxa" w:w="1224"/>
            <w:shd w:fill="FFFFFF"/>
            <w:vAlign w:val="center"/>
          </w:tcPr>
          <w:p>
            <w:pPr>
              <w:spacing w:after="0" w:line="240" w:lineRule="auto"/>
            </w:pPr>
            <w:r>
              <w:rPr>
                <w:color w:val="17324D"/>
                <w:sz w:val="13"/>
              </w:rPr>
              <w:t>Marco no distinguible.</w:t>
            </w:r>
          </w:p>
        </w:tc>
        <w:tc>
          <w:tcPr>
            <w:tcW w:type="dxa" w:w="1872"/>
            <w:shd w:fill="FFFFFF"/>
            <w:vAlign w:val="center"/>
          </w:tcPr>
          <w:p>
            <w:pPr>
              <w:spacing w:after="0" w:line="240" w:lineRule="auto"/>
            </w:pPr>
            <w:r>
              <w:rPr>
                <w:color w:val="17324D"/>
                <w:sz w:val="13"/>
              </w:rPr>
              <w:t>Original y contexto; conservar euskera/castellano junto a traducción analítica.</w:t>
            </w:r>
          </w:p>
        </w:tc>
        <w:tc>
          <w:tcPr>
            <w:tcW w:type="dxa" w:w="2045"/>
            <w:shd w:fill="FFFFFF"/>
            <w:vAlign w:val="center"/>
          </w:tcPr>
          <w:p>
            <w:pPr>
              <w:spacing w:after="0" w:line="240" w:lineRule="auto"/>
            </w:pPr>
            <w:r>
              <w:rPr>
                <w:color w:val="17324D"/>
                <w:sz w:val="13"/>
              </w:rPr>
              <w:t>Literalizar ironía/hipérbole; leer silencio como rechazo de software.</w:t>
            </w:r>
          </w:p>
        </w:tc>
      </w:tr>
    </w:tbl>
    <w:p>
      <w:pPr>
        <w:spacing w:after="0"/>
      </w:pPr>
    </w:p>
    <w:p>
      <w:pPr>
        <w:pStyle w:val="Heading1"/>
      </w:pPr>
      <w:r>
        <w:t>6. Procedimiento analítico</w:t>
      </w:r>
    </w:p>
    <w:tbl>
      <w:tblPr>
        <w:tblStyle w:val="TableGrid"/>
        <w:tblW w:type="auto" w:w="0"/>
        <w:jc w:val="center"/>
        <w:tblLayout w:type="fixed"/>
        <w:tblLook w:firstColumn="1" w:firstRow="1" w:lastColumn="0" w:lastRow="0" w:noHBand="0" w:noVBand="1" w:val="04A0"/>
      </w:tblPr>
      <w:tblGrid>
        <w:gridCol w:w="1440"/>
        <w:gridCol w:w="4896"/>
        <w:gridCol w:w="3960"/>
      </w:tblGrid>
      <w:tr>
        <w:tc>
          <w:tcPr>
            <w:tcW w:type="dxa" w:w="3408"/>
            <w:shd w:fill="17324D"/>
          </w:tcPr>
          <w:p>
            <w:r>
              <w:rPr>
                <w:b/>
                <w:color w:val="FFFFFF"/>
                <w:sz w:val="15"/>
              </w:rPr>
              <w:t>Fase</w:t>
            </w:r>
          </w:p>
        </w:tc>
        <w:tc>
          <w:tcPr>
            <w:tcW w:type="dxa" w:w="3408"/>
            <w:shd w:fill="17324D"/>
          </w:tcPr>
          <w:p>
            <w:r>
              <w:rPr>
                <w:b/>
                <w:color w:val="FFFFFF"/>
                <w:sz w:val="15"/>
              </w:rPr>
              <w:t>Operación</w:t>
            </w:r>
          </w:p>
        </w:tc>
        <w:tc>
          <w:tcPr>
            <w:tcW w:type="dxa" w:w="3408"/>
            <w:shd w:fill="17324D"/>
          </w:tcPr>
          <w:p>
            <w:r>
              <w:rPr>
                <w:b/>
                <w:color w:val="FFFFFF"/>
                <w:sz w:val="15"/>
              </w:rPr>
              <w:t>Registro</w:t>
            </w:r>
          </w:p>
        </w:tc>
      </w:tr>
      <w:tr>
        <w:tc>
          <w:tcPr>
            <w:tcW w:type="dxa" w:w="1440"/>
            <w:shd w:fill="FFFFFF"/>
            <w:vAlign w:val="center"/>
          </w:tcPr>
          <w:p>
            <w:pPr>
              <w:spacing w:after="0" w:line="240" w:lineRule="auto"/>
            </w:pPr>
            <w:r>
              <w:rPr>
                <w:color w:val="17324D"/>
                <w:sz w:val="15"/>
              </w:rPr>
              <w:t>1. Preparar</w:t>
            </w:r>
          </w:p>
        </w:tc>
        <w:tc>
          <w:tcPr>
            <w:tcW w:type="dxa" w:w="4896"/>
            <w:shd w:fill="FFFFFF"/>
            <w:vAlign w:val="center"/>
          </w:tcPr>
          <w:p>
            <w:pPr>
              <w:spacing w:after="0" w:line="240" w:lineRule="auto"/>
            </w:pPr>
            <w:r>
              <w:rPr>
                <w:color w:val="17324D"/>
                <w:sz w:val="15"/>
              </w:rPr>
              <w:t>Capturar fuente, fecha, idioma y contexto; verificar V1/V2.</w:t>
            </w:r>
          </w:p>
        </w:tc>
        <w:tc>
          <w:tcPr>
            <w:tcW w:type="dxa" w:w="3960"/>
            <w:shd w:fill="FFFFFF"/>
            <w:vAlign w:val="center"/>
          </w:tcPr>
          <w:p>
            <w:pPr>
              <w:spacing w:after="0" w:line="240" w:lineRule="auto"/>
            </w:pPr>
            <w:r>
              <w:rPr>
                <w:color w:val="17324D"/>
                <w:sz w:val="15"/>
              </w:rPr>
              <w:t>Ficha de fuente y decisión de inclusión.</w:t>
            </w:r>
          </w:p>
        </w:tc>
      </w:tr>
      <w:tr>
        <w:tc>
          <w:tcPr>
            <w:tcW w:type="dxa" w:w="1440"/>
            <w:shd w:fill="F4F6F8"/>
            <w:vAlign w:val="center"/>
          </w:tcPr>
          <w:p>
            <w:pPr>
              <w:spacing w:after="0" w:line="240" w:lineRule="auto"/>
            </w:pPr>
            <w:r>
              <w:rPr>
                <w:color w:val="17324D"/>
                <w:sz w:val="15"/>
              </w:rPr>
              <w:t>2. Segmentar</w:t>
            </w:r>
          </w:p>
        </w:tc>
        <w:tc>
          <w:tcPr>
            <w:tcW w:type="dxa" w:w="4896"/>
            <w:shd w:fill="F4F6F8"/>
            <w:vAlign w:val="center"/>
          </w:tcPr>
          <w:p>
            <w:pPr>
              <w:spacing w:after="0" w:line="240" w:lineRule="auto"/>
            </w:pPr>
            <w:r>
              <w:rPr>
                <w:color w:val="17324D"/>
                <w:sz w:val="15"/>
              </w:rPr>
              <w:t>Delimitar pasajes y episodios; vincular mensajes/procesos.</w:t>
            </w:r>
          </w:p>
        </w:tc>
        <w:tc>
          <w:tcPr>
            <w:tcW w:type="dxa" w:w="3960"/>
            <w:shd w:fill="F4F6F8"/>
            <w:vAlign w:val="center"/>
          </w:tcPr>
          <w:p>
            <w:pPr>
              <w:spacing w:after="0" w:line="240" w:lineRule="auto"/>
            </w:pPr>
            <w:r>
              <w:rPr>
                <w:color w:val="17324D"/>
                <w:sz w:val="15"/>
              </w:rPr>
              <w:t>ID episodio, actor seudonimizado, ID fragmento.</w:t>
            </w:r>
          </w:p>
        </w:tc>
      </w:tr>
      <w:tr>
        <w:tc>
          <w:tcPr>
            <w:tcW w:type="dxa" w:w="1440"/>
            <w:shd w:fill="FFFFFF"/>
            <w:vAlign w:val="center"/>
          </w:tcPr>
          <w:p>
            <w:pPr>
              <w:spacing w:after="0" w:line="240" w:lineRule="auto"/>
            </w:pPr>
            <w:r>
              <w:rPr>
                <w:color w:val="17324D"/>
                <w:sz w:val="15"/>
              </w:rPr>
              <w:t>3. Codificar contenido</w:t>
            </w:r>
          </w:p>
        </w:tc>
        <w:tc>
          <w:tcPr>
            <w:tcW w:type="dxa" w:w="4896"/>
            <w:shd w:fill="FFFFFF"/>
            <w:vAlign w:val="center"/>
          </w:tcPr>
          <w:p>
            <w:pPr>
              <w:spacing w:after="0" w:line="240" w:lineRule="auto"/>
            </w:pPr>
            <w:r>
              <w:rPr>
                <w:color w:val="17324D"/>
                <w:sz w:val="15"/>
              </w:rPr>
              <w:t>Aplicar D/S/R/B/G por separado; asignar estado y polaridad.</w:t>
            </w:r>
          </w:p>
        </w:tc>
        <w:tc>
          <w:tcPr>
            <w:tcW w:type="dxa" w:w="3960"/>
            <w:shd w:fill="FFFFFF"/>
            <w:vAlign w:val="center"/>
          </w:tcPr>
          <w:p>
            <w:pPr>
              <w:spacing w:after="0" w:line="240" w:lineRule="auto"/>
            </w:pPr>
            <w:r>
              <w:rPr>
                <w:color w:val="17324D"/>
                <w:sz w:val="15"/>
              </w:rPr>
              <w:t>Pasaje, justificación, rival y vínculos.</w:t>
            </w:r>
          </w:p>
        </w:tc>
      </w:tr>
      <w:tr>
        <w:tc>
          <w:tcPr>
            <w:tcW w:type="dxa" w:w="1440"/>
            <w:shd w:fill="F4F6F8"/>
            <w:vAlign w:val="center"/>
          </w:tcPr>
          <w:p>
            <w:pPr>
              <w:spacing w:after="0" w:line="240" w:lineRule="auto"/>
            </w:pPr>
            <w:r>
              <w:rPr>
                <w:color w:val="17324D"/>
                <w:sz w:val="15"/>
              </w:rPr>
              <w:t>4. Leer discurso</w:t>
            </w:r>
          </w:p>
        </w:tc>
        <w:tc>
          <w:tcPr>
            <w:tcW w:type="dxa" w:w="4896"/>
            <w:shd w:fill="F4F6F8"/>
            <w:vAlign w:val="center"/>
          </w:tcPr>
          <w:p>
            <w:pPr>
              <w:spacing w:after="0" w:line="240" w:lineRule="auto"/>
            </w:pPr>
            <w:r>
              <w:rPr>
                <w:color w:val="17324D"/>
                <w:sz w:val="15"/>
              </w:rPr>
              <w:t>Examinar género, destinatario, agencia, causas y marcos.</w:t>
            </w:r>
          </w:p>
        </w:tc>
        <w:tc>
          <w:tcPr>
            <w:tcW w:type="dxa" w:w="3960"/>
            <w:shd w:fill="F4F6F8"/>
            <w:vAlign w:val="center"/>
          </w:tcPr>
          <w:p>
            <w:pPr>
              <w:spacing w:after="0" w:line="240" w:lineRule="auto"/>
            </w:pPr>
            <w:r>
              <w:rPr>
                <w:color w:val="17324D"/>
                <w:sz w:val="15"/>
              </w:rPr>
              <w:t>Memo discursivo, original y contexto.</w:t>
            </w:r>
          </w:p>
        </w:tc>
      </w:tr>
      <w:tr>
        <w:tc>
          <w:tcPr>
            <w:tcW w:type="dxa" w:w="1440"/>
            <w:shd w:fill="FFFFFF"/>
            <w:vAlign w:val="center"/>
          </w:tcPr>
          <w:p>
            <w:pPr>
              <w:spacing w:after="0" w:line="240" w:lineRule="auto"/>
            </w:pPr>
            <w:r>
              <w:rPr>
                <w:color w:val="17324D"/>
                <w:sz w:val="15"/>
              </w:rPr>
              <w:t>5. Contrastar</w:t>
            </w:r>
          </w:p>
        </w:tc>
        <w:tc>
          <w:tcPr>
            <w:tcW w:type="dxa" w:w="4896"/>
            <w:shd w:fill="FFFFFF"/>
            <w:vAlign w:val="center"/>
          </w:tcPr>
          <w:p>
            <w:pPr>
              <w:spacing w:after="0" w:line="240" w:lineRule="auto"/>
            </w:pPr>
            <w:r>
              <w:rPr>
                <w:color w:val="17324D"/>
                <w:sz w:val="15"/>
              </w:rPr>
              <w:t>Buscar actualizaciones, comparables contrarios y documentación.</w:t>
            </w:r>
          </w:p>
        </w:tc>
        <w:tc>
          <w:tcPr>
            <w:tcW w:type="dxa" w:w="3960"/>
            <w:shd w:fill="FFFFFF"/>
            <w:vAlign w:val="center"/>
          </w:tcPr>
          <w:p>
            <w:pPr>
              <w:spacing w:after="0" w:line="240" w:lineRule="auto"/>
            </w:pPr>
            <w:r>
              <w:rPr>
                <w:color w:val="17324D"/>
                <w:sz w:val="15"/>
              </w:rPr>
              <w:t>Consulta, fecha, contraevidencia y resultado.</w:t>
            </w:r>
          </w:p>
        </w:tc>
      </w:tr>
      <w:tr>
        <w:tc>
          <w:tcPr>
            <w:tcW w:type="dxa" w:w="1440"/>
            <w:shd w:fill="F4F6F8"/>
            <w:vAlign w:val="center"/>
          </w:tcPr>
          <w:p>
            <w:pPr>
              <w:spacing w:after="0" w:line="240" w:lineRule="auto"/>
            </w:pPr>
            <w:r>
              <w:rPr>
                <w:color w:val="17324D"/>
                <w:sz w:val="15"/>
              </w:rPr>
              <w:t>6. Sintetizar</w:t>
            </w:r>
          </w:p>
        </w:tc>
        <w:tc>
          <w:tcPr>
            <w:tcW w:type="dxa" w:w="4896"/>
            <w:shd w:fill="F4F6F8"/>
            <w:vAlign w:val="center"/>
          </w:tcPr>
          <w:p>
            <w:pPr>
              <w:spacing w:after="0" w:line="240" w:lineRule="auto"/>
            </w:pPr>
            <w:r>
              <w:rPr>
                <w:color w:val="17324D"/>
                <w:sz w:val="15"/>
              </w:rPr>
              <w:t>Comparar procesos, sectores y canales, preservando discrepancias.</w:t>
            </w:r>
          </w:p>
        </w:tc>
        <w:tc>
          <w:tcPr>
            <w:tcW w:type="dxa" w:w="3960"/>
            <w:shd w:fill="F4F6F8"/>
            <w:vAlign w:val="center"/>
          </w:tcPr>
          <w:p>
            <w:pPr>
              <w:spacing w:after="0" w:line="240" w:lineRule="auto"/>
            </w:pPr>
            <w:r>
              <w:rPr>
                <w:color w:val="17324D"/>
                <w:sz w:val="15"/>
              </w:rPr>
              <w:t>Matriz de casos y memo de hipótesis.</w:t>
            </w:r>
          </w:p>
        </w:tc>
      </w:tr>
    </w:tbl>
    <w:p>
      <w:pPr>
        <w:spacing w:after="0"/>
      </w:pPr>
    </w:p>
    <w:p>
      <w:r>
        <w:t>La calibración comienza con doble codificación de una selección inicial variada. Se discuten discrepancias y se registra cada cambio de definición; se revisan los casos afectados. La lectura discursiva detallada incluye episodios discordantes. Los recuentos describen el corpus, no la población.</w:t>
      </w:r>
    </w:p>
    <w:p>
      <w:pPr>
        <w:pStyle w:val="Heading1"/>
      </w:pPr>
      <w:r>
        <w:t>7. Búsqueda sistemática de refutaciones</w:t>
      </w:r>
    </w:p>
    <w:p>
      <w:r>
        <w:t>Antes de contrastar cada nodo, formular: «en este actor, proceso y periodo, la evidencia sostiene X». Buscar (a) aclaración/actualización del mismo actor, (b) caso público comparable por proceso y contexto que sostenga lo contrario y (c), para requisitos y oferta, documentación de opciones pertinentes. Buscar en castellano y euskera, con términos técnicos y sin ellos. Guardar consultas, fechas, fuentes y hallazgos nulos.</w:t>
      </w:r>
    </w:p>
    <w:tbl>
      <w:tblPr>
        <w:tblStyle w:val="TableGrid"/>
        <w:tblW w:type="auto" w:w="0"/>
        <w:jc w:val="center"/>
        <w:tblLayout w:type="fixed"/>
        <w:tblLook w:firstColumn="1" w:firstRow="1" w:lastColumn="0" w:lastRow="0" w:noHBand="0" w:noVBand="1" w:val="04A0"/>
      </w:tblPr>
      <w:tblGrid>
        <w:gridCol w:w="1440"/>
        <w:gridCol w:w="8856"/>
      </w:tblGrid>
      <w:tr>
        <w:tc>
          <w:tcPr>
            <w:tcW w:type="dxa" w:w="5112"/>
            <w:shd w:fill="17324D"/>
          </w:tcPr>
          <w:p>
            <w:r>
              <w:rPr>
                <w:b/>
                <w:color w:val="FFFFFF"/>
                <w:sz w:val="15"/>
              </w:rPr>
              <w:t>Nodo</w:t>
            </w:r>
          </w:p>
        </w:tc>
        <w:tc>
          <w:tcPr>
            <w:tcW w:type="dxa" w:w="5112"/>
            <w:shd w:fill="17324D"/>
          </w:tcPr>
          <w:p>
            <w:r>
              <w:rPr>
                <w:b/>
                <w:color w:val="FFFFFF"/>
                <w:sz w:val="15"/>
              </w:rPr>
              <w:t>Evidencia contraria que se buscará</w:t>
            </w:r>
          </w:p>
        </w:tc>
      </w:tr>
      <w:tr>
        <w:tc>
          <w:tcPr>
            <w:tcW w:type="dxa" w:w="1440"/>
            <w:shd w:fill="FFFFFF"/>
            <w:vAlign w:val="center"/>
          </w:tcPr>
          <w:p>
            <w:pPr>
              <w:spacing w:after="0" w:line="240" w:lineRule="auto"/>
            </w:pPr>
            <w:r>
              <w:rPr>
                <w:color w:val="17324D"/>
                <w:sz w:val="15"/>
              </w:rPr>
              <w:t>D1–D2</w:t>
            </w:r>
          </w:p>
        </w:tc>
        <w:tc>
          <w:tcPr>
            <w:tcW w:type="dxa" w:w="8856"/>
            <w:shd w:fill="FFFFFF"/>
            <w:vAlign w:val="center"/>
          </w:tcPr>
          <w:p>
            <w:pPr>
              <w:spacing w:after="0" w:line="240" w:lineRule="auto"/>
            </w:pPr>
            <w:r>
              <w:rPr>
                <w:color w:val="17324D"/>
                <w:sz w:val="15"/>
              </w:rPr>
              <w:t>Aclaración de que no hubo fallo en esa tarea o de que el perjuicio provino de otra causa.</w:t>
            </w:r>
          </w:p>
        </w:tc>
      </w:tr>
      <w:tr>
        <w:tc>
          <w:tcPr>
            <w:tcW w:type="dxa" w:w="1440"/>
            <w:shd w:fill="F4F6F8"/>
            <w:vAlign w:val="center"/>
          </w:tcPr>
          <w:p>
            <w:pPr>
              <w:spacing w:after="0" w:line="240" w:lineRule="auto"/>
            </w:pPr>
            <w:r>
              <w:rPr>
                <w:color w:val="17324D"/>
                <w:sz w:val="15"/>
              </w:rPr>
              <w:t>D3–D4</w:t>
            </w:r>
          </w:p>
        </w:tc>
        <w:tc>
          <w:tcPr>
            <w:tcW w:type="dxa" w:w="8856"/>
            <w:shd w:fill="F4F6F8"/>
            <w:vAlign w:val="center"/>
          </w:tcPr>
          <w:p>
            <w:pPr>
              <w:spacing w:after="0" w:line="240" w:lineRule="auto"/>
            </w:pPr>
            <w:r>
              <w:rPr>
                <w:color w:val="17324D"/>
                <w:sz w:val="15"/>
              </w:rPr>
              <w:t>Confirmación de hecho único; evidencia de que el apaño es elegido y funciona para esa tarea.</w:t>
            </w:r>
          </w:p>
        </w:tc>
      </w:tr>
      <w:tr>
        <w:tc>
          <w:tcPr>
            <w:tcW w:type="dxa" w:w="1440"/>
            <w:shd w:fill="FFFFFF"/>
            <w:vAlign w:val="center"/>
          </w:tcPr>
          <w:p>
            <w:pPr>
              <w:spacing w:after="0" w:line="240" w:lineRule="auto"/>
            </w:pPr>
            <w:r>
              <w:rPr>
                <w:color w:val="17324D"/>
                <w:sz w:val="15"/>
              </w:rPr>
              <w:t>S1</w:t>
            </w:r>
          </w:p>
        </w:tc>
        <w:tc>
          <w:tcPr>
            <w:tcW w:type="dxa" w:w="8856"/>
            <w:shd w:fill="FFFFFF"/>
            <w:vAlign w:val="center"/>
          </w:tcPr>
          <w:p>
            <w:pPr>
              <w:spacing w:after="0" w:line="240" w:lineRule="auto"/>
            </w:pPr>
            <w:r>
              <w:rPr>
                <w:color w:val="17324D"/>
                <w:sz w:val="15"/>
              </w:rPr>
              <w:t>Resolución con personal, coordinación, cambio de proceso o norma sin la función digital; rechazo expreso.</w:t>
            </w:r>
          </w:p>
        </w:tc>
      </w:tr>
      <w:tr>
        <w:tc>
          <w:tcPr>
            <w:tcW w:type="dxa" w:w="1440"/>
            <w:shd w:fill="F4F6F8"/>
            <w:vAlign w:val="center"/>
          </w:tcPr>
          <w:p>
            <w:pPr>
              <w:spacing w:after="0" w:line="240" w:lineRule="auto"/>
            </w:pPr>
            <w:r>
              <w:rPr>
                <w:color w:val="17324D"/>
                <w:sz w:val="15"/>
              </w:rPr>
              <w:t>R1–R3</w:t>
            </w:r>
          </w:p>
        </w:tc>
        <w:tc>
          <w:tcPr>
            <w:tcW w:type="dxa" w:w="8856"/>
            <w:shd w:fill="F4F6F8"/>
            <w:vAlign w:val="center"/>
          </w:tcPr>
          <w:p>
            <w:pPr>
              <w:spacing w:after="0" w:line="240" w:lineRule="auto"/>
            </w:pPr>
            <w:r>
              <w:rPr>
                <w:color w:val="17324D"/>
                <w:sz w:val="15"/>
              </w:rPr>
              <w:t>Solución satisfactoria sin función/intercambio/condición postulados; corrección del requisito.</w:t>
            </w:r>
          </w:p>
        </w:tc>
      </w:tr>
      <w:tr>
        <w:tc>
          <w:tcPr>
            <w:tcW w:type="dxa" w:w="1440"/>
            <w:shd w:fill="FFFFFF"/>
            <w:vAlign w:val="center"/>
          </w:tcPr>
          <w:p>
            <w:pPr>
              <w:spacing w:after="0" w:line="240" w:lineRule="auto"/>
            </w:pPr>
            <w:r>
              <w:rPr>
                <w:color w:val="17324D"/>
                <w:sz w:val="15"/>
              </w:rPr>
              <w:t>B1–B3</w:t>
            </w:r>
          </w:p>
        </w:tc>
        <w:tc>
          <w:tcPr>
            <w:tcW w:type="dxa" w:w="8856"/>
            <w:shd w:fill="FFFFFF"/>
            <w:vAlign w:val="center"/>
          </w:tcPr>
          <w:p>
            <w:pPr>
              <w:spacing w:after="0" w:line="240" w:lineRule="auto"/>
            </w:pPr>
            <w:r>
              <w:rPr>
                <w:color w:val="17324D"/>
                <w:sz w:val="15"/>
              </w:rPr>
              <w:t>Adopción pese al impedimento o evidencia de que el bloqueo real era otro.</w:t>
            </w:r>
          </w:p>
        </w:tc>
      </w:tr>
      <w:tr>
        <w:tc>
          <w:tcPr>
            <w:tcW w:type="dxa" w:w="1440"/>
            <w:shd w:fill="F4F6F8"/>
            <w:vAlign w:val="center"/>
          </w:tcPr>
          <w:p>
            <w:pPr>
              <w:spacing w:after="0" w:line="240" w:lineRule="auto"/>
            </w:pPr>
            <w:r>
              <w:rPr>
                <w:color w:val="17324D"/>
                <w:sz w:val="15"/>
              </w:rPr>
              <w:t>G1–G3</w:t>
            </w:r>
          </w:p>
        </w:tc>
        <w:tc>
          <w:tcPr>
            <w:tcW w:type="dxa" w:w="8856"/>
            <w:shd w:fill="F4F6F8"/>
            <w:vAlign w:val="center"/>
          </w:tcPr>
          <w:p>
            <w:pPr>
              <w:spacing w:after="0" w:line="240" w:lineRule="auto"/>
            </w:pPr>
            <w:r>
              <w:rPr>
                <w:color w:val="17324D"/>
                <w:sz w:val="15"/>
              </w:rPr>
              <w:t>Corrección de carencia; opción accesible que satisface criterios indispensables dentro del alcance.</w:t>
            </w:r>
          </w:p>
        </w:tc>
      </w:tr>
      <w:tr>
        <w:tc>
          <w:tcPr>
            <w:tcW w:type="dxa" w:w="1440"/>
            <w:shd w:fill="FFFFFF"/>
            <w:vAlign w:val="center"/>
          </w:tcPr>
          <w:p>
            <w:pPr>
              <w:spacing w:after="0" w:line="240" w:lineRule="auto"/>
            </w:pPr>
            <w:r>
              <w:rPr>
                <w:color w:val="17324D"/>
                <w:sz w:val="15"/>
              </w:rPr>
              <w:t>Q1–Q3</w:t>
            </w:r>
          </w:p>
        </w:tc>
        <w:tc>
          <w:tcPr>
            <w:tcW w:type="dxa" w:w="8856"/>
            <w:shd w:fill="FFFFFF"/>
            <w:vAlign w:val="center"/>
          </w:tcPr>
          <w:p>
            <w:pPr>
              <w:spacing w:after="0" w:line="240" w:lineRule="auto"/>
            </w:pPr>
            <w:r>
              <w:rPr>
                <w:color w:val="17324D"/>
                <w:sz w:val="15"/>
              </w:rPr>
              <w:t>Aclaración de destinatario, rectificación de causa o reformulación de urgencia/solución.</w:t>
            </w:r>
          </w:p>
        </w:tc>
      </w:tr>
    </w:tbl>
    <w:p>
      <w:pPr>
        <w:spacing w:after="0"/>
      </w:pPr>
    </w:p>
    <w:p>
      <w:r>
        <w:t>El silencio o la ausencia de resultados no refuta ni confirma. Una rectificación acota el momento y sentido de la interpretación; un comparable contrario limita generalización, pero no invalida la experiencia original.</w:t>
      </w:r>
    </w:p>
    <w:p>
      <w:pPr>
        <w:pStyle w:val="Heading1"/>
      </w:pPr>
      <w:r>
        <w:t>8. Ética, trazabilidad y límites</w:t>
      </w:r>
    </w:p>
    <w:p>
      <w:pPr>
        <w:pStyle w:val="ListBullet"/>
      </w:pPr>
      <w:r>
        <w:t>Minimizar datos personales, especialmente de autónomos; seudonimizar actores y limitar citas identificables.</w:t>
      </w:r>
    </w:p>
    <w:p>
      <w:pPr>
        <w:pStyle w:val="ListBullet"/>
      </w:pPr>
      <w:r>
        <w:t>Conservar trazabilidad suficiente para auditar sin difundir información innecesaria; respetar contexto e idioma.</w:t>
      </w:r>
    </w:p>
    <w:p>
      <w:pPr>
        <w:pStyle w:val="ListBullet"/>
      </w:pPr>
      <w:r>
        <w:t>No confundir “no consta” con ausencia ni atribuir hechos objetivos sin verificación independiente.</w:t>
      </w:r>
    </w:p>
    <w:p>
      <w:pPr>
        <w:pStyle w:val="ListBullet"/>
      </w:pPr>
      <w:r>
        <w:t>No inferir demanda, disposición a pagar, causalidad o tamaño de mercado; limitar conclusiones de oferta a productos, condiciones, fuentes y fecha de búsqueda documentados.</w:t>
      </w:r>
    </w:p>
    <w:p>
      <w:pPr>
        <w:pStyle w:val="Heading2"/>
      </w:pPr>
      <w:r>
        <w:t>Resultado previsto</w:t>
      </w:r>
    </w:p>
    <w:p>
      <w:r>
        <w:t>Una matriz de episodios y evidencias, con memos sobre hipótesis de necesidades, alternativas no digitales, barreras, brechas acotadas y contraejemplos. Cada conclusión distinguirá qué fue observado, qué inferido, qué no consta y qué evidencia podría modificarla.</w:t>
      </w:r>
    </w:p>
    <w:sectPr w:rsidR="00FC693F" w:rsidRPr="0006063C" w:rsidSect="00034616">
      <w:headerReference w:type="default" r:id="rId9"/>
      <w:footerReference w:type="default" r:id="rId10"/>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color w:val="536273"/>
        <w:sz w:val="16"/>
      </w:rPr>
      <w:t xml:space="preserve">Contexto metodológico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b/>
        <w:color w:val="147D80"/>
      </w:rPr>
      <w:t>DISEÑO DE INVESTIGACIÓN  /  BIZKAIA</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4" w:lineRule="auto"/>
    </w:pPr>
    <w:rPr>
      <w:rFonts w:ascii="Aptos" w:hAnsi="Aptos" w:eastAsia="Aptos"/>
      <w:b w:val="0"/>
      <w:color w:val="17324D"/>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80"/>
      <w:outlineLvl w:val="0"/>
    </w:pPr>
    <w:rPr>
      <w:rFonts w:asciiTheme="majorHAnsi" w:eastAsiaTheme="majorEastAsia" w:hAnsiTheme="majorHAnsi" w:cstheme="majorBidi" w:ascii="Aptos" w:hAnsi="Aptos" w:eastAsia="Aptos"/>
      <w:b/>
      <w:bCs/>
      <w:color w:val="17324D"/>
      <w:sz w:val="32"/>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Aptos" w:hAnsi="Aptos" w:eastAsia="Aptos"/>
      <w:b/>
      <w:bCs/>
      <w:color w:val="147D80"/>
      <w:sz w:val="22"/>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Aptos" w:hAnsi="Aptos" w:eastAsia="Aptos"/>
      <w:b/>
      <w:bCs/>
      <w:color w:val="17324D"/>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80" w:line="240" w:lineRule="auto"/>
      <w:contextualSpacing/>
    </w:pPr>
    <w:rPr>
      <w:rFonts w:asciiTheme="majorHAnsi" w:eastAsiaTheme="majorEastAsia" w:hAnsiTheme="majorHAnsi" w:cstheme="majorBidi" w:ascii="Aptos" w:hAnsi="Aptos" w:eastAsia="Aptos"/>
      <w:b/>
      <w:color w:val="17324D"/>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Contexto metodológico: quejas públicas y necesidades de software en Bizkaia</dc:title>
  <dc:subject>Protocolo cualitativo para análisis de contenido, discurso y casos refutadores</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